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9F9"/>
  <w:body>
    <w:p w14:paraId="3A88C46D">
      <w:pPr>
        <w:spacing w:after="20"/>
        <w:jc w:val="center"/>
      </w:pPr>
      <w:r>
        <w:rPr>
          <w:rFonts w:ascii="Arial" w:hAnsi="Arial" w:eastAsia="微软雅黑"/>
          <w:b/>
          <w:color w:val="7F1420"/>
          <w:sz w:val="40"/>
        </w:rPr>
        <w:t>Protein A/G 琼脂糖磁珠</w:t>
      </w:r>
    </w:p>
    <w:p w14:paraId="3AC42378">
      <w:pPr>
        <w:spacing w:after="160"/>
        <w:jc w:val="center"/>
      </w:pPr>
      <w:r>
        <w:rPr>
          <w:rFonts w:ascii="Arial" w:hAnsi="Arial" w:eastAsia="微软雅黑"/>
          <w:b/>
          <w:color w:val="A61B29"/>
          <w:sz w:val="22"/>
        </w:rPr>
        <w:t>Protein A/G Magnetic Agarose Beads · 产品说明书</w:t>
      </w:r>
    </w:p>
    <w:tbl>
      <w:tblPr>
        <w:tblStyle w:val="32"/>
        <w:tblW w:w="0" w:type="auto"/>
        <w:jc w:val="center"/>
        <w:tblBorders>
          <w:top w:val="single" w:color="D9B8BD" w:sz="4" w:space="0"/>
          <w:left w:val="single" w:color="D9B8BD" w:sz="4" w:space="0"/>
          <w:bottom w:val="single" w:color="D9B8BD" w:sz="4" w:space="0"/>
          <w:right w:val="single" w:color="D9B8BD" w:sz="4" w:space="0"/>
          <w:insideH w:val="single" w:color="D9B8BD" w:sz="4" w:space="0"/>
          <w:insideV w:val="single" w:color="D9B8BD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3"/>
        <w:gridCol w:w="2493"/>
        <w:gridCol w:w="2493"/>
        <w:gridCol w:w="2493"/>
      </w:tblGrid>
      <w:tr w14:paraId="1F1E503A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98CF8D">
            <w:r>
              <w:rPr>
                <w:rFonts w:ascii="Arial" w:hAnsi="Arial" w:eastAsia="微软雅黑"/>
                <w:b/>
                <w:color w:val="FFFFFF"/>
                <w:sz w:val="18"/>
              </w:rPr>
              <w:t>基质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73BFD5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磁性琼脂糖</w:t>
            </w:r>
          </w:p>
        </w:tc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CA3C52">
            <w:r>
              <w:rPr>
                <w:rFonts w:ascii="Arial" w:hAnsi="Arial" w:eastAsia="微软雅黑"/>
                <w:b/>
                <w:color w:val="FFFFFF"/>
                <w:sz w:val="18"/>
              </w:rPr>
              <w:t>粒径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C72F72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1–5 μm</w:t>
            </w:r>
          </w:p>
        </w:tc>
      </w:tr>
      <w:tr w14:paraId="709C0AC9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9610C3">
            <w:r>
              <w:rPr>
                <w:rFonts w:ascii="Arial" w:hAnsi="Arial" w:eastAsia="微软雅黑"/>
                <w:b/>
                <w:color w:val="FFFFFF"/>
                <w:sz w:val="18"/>
              </w:rPr>
              <w:t>产品形式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3D4558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40% (v/v) slurry</w:t>
            </w:r>
          </w:p>
        </w:tc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C34B81">
            <w:r>
              <w:rPr>
                <w:rFonts w:ascii="Arial" w:hAnsi="Arial" w:eastAsia="微软雅黑"/>
                <w:b/>
                <w:color w:val="FFFFFF"/>
                <w:sz w:val="18"/>
              </w:rPr>
              <w:t>配基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E51C82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重组 Protein A/G</w:t>
            </w:r>
          </w:p>
        </w:tc>
      </w:tr>
      <w:tr w14:paraId="29482766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26C345">
            <w:r>
              <w:rPr>
                <w:rFonts w:ascii="Arial" w:hAnsi="Arial" w:eastAsia="微软雅黑"/>
                <w:b/>
                <w:color w:val="FFFFFF"/>
                <w:sz w:val="18"/>
              </w:rPr>
              <w:t>主要用途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83461E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抗体纯化、IP / Co-IP</w:t>
            </w:r>
          </w:p>
        </w:tc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B49A3C">
            <w:r>
              <w:rPr>
                <w:rFonts w:ascii="Arial" w:hAnsi="Arial" w:eastAsia="微软雅黑"/>
                <w:b/>
                <w:color w:val="FFFFFF"/>
                <w:sz w:val="18"/>
              </w:rPr>
              <w:t>保存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4DB2C8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2–8°C，禁止冻结</w:t>
            </w:r>
          </w:p>
        </w:tc>
      </w:tr>
      <w:tr w14:paraId="54DBC8C4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656F50">
            <w:r>
              <w:rPr>
                <w:rFonts w:ascii="Arial" w:hAnsi="Arial" w:eastAsia="微软雅黑"/>
                <w:b/>
                <w:color w:val="FFFFFF"/>
                <w:sz w:val="18"/>
              </w:rPr>
              <w:t>使用范围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7A3E5F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仅供科研使用（RUO）</w:t>
            </w:r>
          </w:p>
        </w:tc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BD7461">
            <w:r>
              <w:rPr>
                <w:rFonts w:ascii="Arial" w:hAnsi="Arial" w:eastAsia="微软雅黑"/>
                <w:b/>
                <w:color w:val="FFFFFF"/>
                <w:sz w:val="18"/>
              </w:rPr>
              <w:t>操作方式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22C0BC">
            <w:r>
              <w:rPr>
                <w:rFonts w:ascii="Arial" w:hAnsi="Arial" w:eastAsia="微软雅黑"/>
                <w:b w:val="0"/>
                <w:color w:val="262626"/>
                <w:sz w:val="18"/>
              </w:rPr>
              <w:t>磁力架分离</w:t>
            </w:r>
          </w:p>
        </w:tc>
      </w:tr>
      <w:tr w14:paraId="72410036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986" w:type="dxa"/>
          <w:jc w:val="center"/>
        </w:trPr>
        <w:tc>
          <w:tcPr>
            <w:tcW w:w="2493" w:type="dxa"/>
            <w:shd w:val="clear" w:color="auto" w:fill="A61B29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28F4CC">
            <w:pPr>
              <w:rPr>
                <w:rFonts w:hint="default" w:ascii="Arial" w:hAnsi="Arial" w:eastAsia="微软雅黑"/>
                <w:b w:val="0"/>
                <w:color w:val="262626"/>
                <w:sz w:val="18"/>
                <w:lang w:val="en-US" w:eastAsia="zh-CN"/>
              </w:rPr>
            </w:pPr>
            <w:r>
              <w:rPr>
                <w:rFonts w:hint="default" w:ascii="Arial" w:hAnsi="Arial" w:eastAsia="微软雅黑"/>
                <w:b/>
                <w:color w:val="FFFFFF"/>
                <w:sz w:val="18"/>
                <w:lang w:val="en-US" w:eastAsia="zh-CN"/>
              </w:rPr>
              <w:t>最大结合量</w:t>
            </w:r>
          </w:p>
        </w:tc>
        <w:tc>
          <w:tcPr>
            <w:tcW w:w="2493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64E0C9">
            <w:pPr>
              <w:rPr>
                <w:rFonts w:hint="default" w:ascii="Arial" w:hAnsi="Arial" w:eastAsia="微软雅黑"/>
                <w:b w:val="0"/>
                <w:color w:val="262626"/>
                <w:sz w:val="18"/>
              </w:rPr>
            </w:pPr>
            <w:r>
              <w:rPr>
                <w:rFonts w:hint="default" w:ascii="Arial" w:hAnsi="Arial" w:eastAsia="微软雅黑"/>
                <w:b w:val="0"/>
                <w:color w:val="262626"/>
                <w:sz w:val="18"/>
                <w:lang w:val="en-US" w:eastAsia="zh-CN"/>
              </w:rPr>
              <w:t>&gt;</w:t>
            </w:r>
            <w:r>
              <w:rPr>
                <w:rFonts w:hint="eastAsia" w:ascii="Arial" w:hAnsi="Arial"/>
                <w:b w:val="0"/>
                <w:color w:val="262626"/>
                <w:sz w:val="18"/>
                <w:lang w:val="en-US" w:eastAsia="zh-CN"/>
              </w:rPr>
              <w:t>2</w:t>
            </w:r>
            <w:r>
              <w:rPr>
                <w:rFonts w:hint="default" w:ascii="Arial" w:hAnsi="Arial" w:eastAsia="微软雅黑"/>
                <w:b w:val="0"/>
                <w:color w:val="262626"/>
                <w:sz w:val="18"/>
                <w:lang w:val="en-US" w:eastAsia="zh-CN"/>
              </w:rPr>
              <w:t>0 mg rabbit IgG/mL settled beads</w:t>
            </w:r>
          </w:p>
        </w:tc>
      </w:tr>
    </w:tbl>
    <w:p w14:paraId="5EB91DD4">
      <w:pPr>
        <w:pStyle w:val="3"/>
        <w:spacing w:before="160" w:after="60"/>
      </w:pPr>
      <w:r>
        <w:t>1. 产品简介</w:t>
      </w:r>
    </w:p>
    <w:p w14:paraId="1DEE160B">
      <w:pPr>
        <w:spacing w:after="60" w:line="269" w:lineRule="auto"/>
      </w:pPr>
      <w:r>
        <w:t>Protein A/G 琼脂糖磁珠以磁性琼脂糖微球为固相载体，共价偶联重组 Protein A/G 配基。Protein A/G 兼具 Protein A 与 Protein G 的 IgG 结合特性，可覆盖较广泛的物种及 IgG 亚型。磁性载体无需装柱，可通过磁力架快速完成结合、洗涤和洗脱，适用于小规模抗体纯化、免疫沉淀（IP）及免疫共沉淀（Co-IP）等实验。</w:t>
      </w:r>
    </w:p>
    <w:p w14:paraId="4EB48CE9">
      <w:pPr>
        <w:spacing w:after="60" w:line="269" w:lineRule="auto"/>
      </w:pPr>
      <w:r>
        <w:t>本产品粒径为 1–5 μm，以 40%（v/v）slurry 形式供应。使用前必须充分重悬，以保证每次取样均一。</w:t>
      </w:r>
    </w:p>
    <w:p w14:paraId="2497008E">
      <w:pPr>
        <w:pStyle w:val="4"/>
        <w:keepNext/>
        <w:keepLines/>
        <w:widowControl/>
        <w:rPr>
          <w:sz w:val="24"/>
          <w:szCs w:val="24"/>
        </w:rPr>
      </w:pPr>
      <w:r>
        <w:rPr>
          <w:sz w:val="24"/>
          <w:szCs w:val="24"/>
        </w:rPr>
        <w:t>包装规格</w:t>
      </w:r>
    </w:p>
    <w:tbl>
      <w:tblPr>
        <w:tblStyle w:val="32"/>
        <w:tblW w:w="8519" w:type="dxa"/>
        <w:tblInd w:w="120" w:type="dxa"/>
        <w:tblBorders>
          <w:top w:val="single" w:color="AAB4BE" w:sz="4" w:space="0"/>
          <w:left w:val="single" w:color="AAB4BE" w:sz="4" w:space="0"/>
          <w:bottom w:val="single" w:color="AAB4BE" w:sz="4" w:space="0"/>
          <w:right w:val="single" w:color="AAB4BE" w:sz="4" w:space="0"/>
          <w:insideH w:val="single" w:color="AAB4BE" w:sz="4" w:space="0"/>
          <w:insideV w:val="single" w:color="AAB4BE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9"/>
        <w:gridCol w:w="3380"/>
      </w:tblGrid>
      <w:tr w14:paraId="3FB2623A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tblHeader/>
        </w:trPr>
        <w:tc>
          <w:tcPr>
            <w:tcW w:w="5139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2BC9B4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货号</w:t>
            </w:r>
          </w:p>
        </w:tc>
        <w:tc>
          <w:tcPr>
            <w:tcW w:w="3380" w:type="dxa"/>
            <w:shd w:val="clear" w:color="auto" w:fill="E8EE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5CFFE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规格（</w:t>
            </w:r>
            <w:r>
              <w:rPr>
                <w:rFonts w:hint="default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% slurry）</w:t>
            </w:r>
          </w:p>
        </w:tc>
      </w:tr>
      <w:tr w14:paraId="25B18505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</w:trPr>
        <w:tc>
          <w:tcPr>
            <w:tcW w:w="5139" w:type="dxa"/>
          </w:tcPr>
          <w:p w14:paraId="396F1673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</w:t>
            </w:r>
            <w:r>
              <w:rPr>
                <w:rFonts w:hint="eastAsia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pA/G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-mag-agro-1</w:t>
            </w:r>
          </w:p>
        </w:tc>
        <w:tc>
          <w:tcPr>
            <w:tcW w:w="3380" w:type="dxa"/>
          </w:tcPr>
          <w:p w14:paraId="75BD0946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1 mL</w:t>
            </w:r>
          </w:p>
        </w:tc>
      </w:tr>
      <w:tr w14:paraId="0E6D0D91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</w:trPr>
        <w:tc>
          <w:tcPr>
            <w:tcW w:w="5139" w:type="dxa"/>
            <w:shd w:val="clear" w:color="auto" w:fill="F7F9FB"/>
          </w:tcPr>
          <w:p w14:paraId="2648D1C8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</w:t>
            </w:r>
            <w:r>
              <w:rPr>
                <w:rFonts w:hint="eastAsia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pA/G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-mag-agro-4</w:t>
            </w:r>
          </w:p>
        </w:tc>
        <w:tc>
          <w:tcPr>
            <w:tcW w:w="3380" w:type="dxa"/>
            <w:shd w:val="clear" w:color="auto" w:fill="F7F9FB"/>
          </w:tcPr>
          <w:p w14:paraId="52A4ABA3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4 mL</w:t>
            </w:r>
          </w:p>
        </w:tc>
      </w:tr>
      <w:tr w14:paraId="620102B7">
        <w:tblPrEx>
          <w:tblBorders>
            <w:top w:val="single" w:color="AAB4BE" w:sz="4" w:space="0"/>
            <w:left w:val="single" w:color="AAB4BE" w:sz="4" w:space="0"/>
            <w:bottom w:val="single" w:color="AAB4BE" w:sz="4" w:space="0"/>
            <w:right w:val="single" w:color="AAB4BE" w:sz="4" w:space="0"/>
            <w:insideH w:val="single" w:color="AAB4BE" w:sz="4" w:space="0"/>
            <w:insideV w:val="single" w:color="AAB4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</w:trPr>
        <w:tc>
          <w:tcPr>
            <w:tcW w:w="5139" w:type="dxa"/>
          </w:tcPr>
          <w:p w14:paraId="08AE2B5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HXL-</w:t>
            </w:r>
            <w:r>
              <w:rPr>
                <w:rFonts w:hint="eastAsia" w:ascii="Times New Roman" w:hAnsi="Times New Roman" w:cs="Times New Roman"/>
                <w:b/>
                <w:color w:val="20242B"/>
                <w:sz w:val="19"/>
                <w:lang w:val="en-US" w:eastAsia="zh-CN"/>
              </w:rPr>
              <w:t>pA/G</w:t>
            </w: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-mag-agro-20</w:t>
            </w:r>
          </w:p>
        </w:tc>
        <w:tc>
          <w:tcPr>
            <w:tcW w:w="3380" w:type="dxa"/>
          </w:tcPr>
          <w:p w14:paraId="1CC1CD9A">
            <w:pPr>
              <w:keepLines/>
              <w:widowControl/>
              <w:spacing w:before="0" w:after="0" w:line="269" w:lineRule="auto"/>
              <w:jc w:val="left"/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color w:val="20242B"/>
                <w:sz w:val="19"/>
                <w:lang w:val="zh-CN" w:eastAsia="zh-CN"/>
              </w:rPr>
              <w:t>20 mL</w:t>
            </w:r>
          </w:p>
        </w:tc>
      </w:tr>
    </w:tbl>
    <w:p w14:paraId="127A37D9">
      <w:pPr>
        <w:pStyle w:val="3"/>
        <w:spacing w:before="160" w:after="60"/>
      </w:pPr>
    </w:p>
    <w:p w14:paraId="55A12E53">
      <w:pPr>
        <w:pStyle w:val="3"/>
        <w:spacing w:before="160" w:after="60"/>
      </w:pPr>
      <w:r>
        <w:t>2. 产品特点</w:t>
      </w:r>
    </w:p>
    <w:p w14:paraId="1D2A4FB4">
      <w:pPr>
        <w:pStyle w:val="16"/>
        <w:spacing w:after="30"/>
      </w:pPr>
      <w:r>
        <w:t>广谱 IgG 结合：Protein A/G 兼具 Protein A 和 Protein G 的结合谱，适合抗体亚型未知或需要兼顾多物种 IgG 的实验。</w:t>
      </w:r>
    </w:p>
    <w:p w14:paraId="5ABB2E09">
      <w:pPr>
        <w:pStyle w:val="16"/>
        <w:spacing w:after="30"/>
      </w:pPr>
      <w:r>
        <w:t>磁性操作：使用磁力架即可完成固液分离，减少离心、装柱和树脂转移步骤。</w:t>
      </w:r>
    </w:p>
    <w:p w14:paraId="08295616">
      <w:pPr>
        <w:pStyle w:val="16"/>
        <w:spacing w:after="30"/>
      </w:pPr>
      <w:r>
        <w:t>琼脂糖基质：亲水性较好，有利于降低复杂样本中的非特异性吸附。</w:t>
      </w:r>
    </w:p>
    <w:p w14:paraId="20EBED42">
      <w:pPr>
        <w:pStyle w:val="16"/>
        <w:spacing w:after="30"/>
      </w:pPr>
      <w:r>
        <w:t>1–5 μm 微粒：具有较大的有效比表面积；孵育过程中应保持充分混匀，使磁珠与抗体或免疫复合物充分接触。</w:t>
      </w:r>
    </w:p>
    <w:p w14:paraId="4BEF6B51">
      <w:pPr>
        <w:pStyle w:val="16"/>
        <w:spacing w:after="30"/>
      </w:pPr>
      <w:r>
        <w:t>40% slurry：50 μL 磁珠悬液约含 20 μL settled beads；实际用量应依据抗体量、样本复杂度及本产品实测结合容量优化。</w:t>
      </w:r>
    </w:p>
    <w:p w14:paraId="2086B09D">
      <w:pPr>
        <w:pStyle w:val="3"/>
        <w:spacing w:before="160" w:after="60"/>
      </w:pPr>
      <w:r>
        <w:t>3. 适用范围</w:t>
      </w:r>
    </w:p>
    <w:p w14:paraId="68EB40CD">
      <w:pPr>
        <w:pStyle w:val="16"/>
        <w:spacing w:after="30"/>
      </w:pPr>
      <w:r>
        <w:t>从血清、腹水或细胞培养上清中亲和纯化 IgG。</w:t>
      </w:r>
    </w:p>
    <w:p w14:paraId="145AB447">
      <w:pPr>
        <w:pStyle w:val="16"/>
        <w:spacing w:after="30"/>
      </w:pPr>
      <w:r>
        <w:t>细胞裂解液或其他生物样本中的免疫沉淀（IP）和免疫共沉淀（Co-IP）。</w:t>
      </w:r>
    </w:p>
    <w:p w14:paraId="7D95D665">
      <w:pPr>
        <w:pStyle w:val="16"/>
        <w:spacing w:after="30"/>
      </w:pPr>
      <w:r>
        <w:t>抗体固定、抗原富集及后续 Western blot、质谱等分析的样品制备。</w:t>
      </w:r>
    </w:p>
    <w:p w14:paraId="57373E65">
      <w:pPr>
        <w:pStyle w:val="3"/>
        <w:spacing w:before="160" w:after="60"/>
      </w:pPr>
      <w:r>
        <w:t>4. 建议缓冲液</w:t>
      </w:r>
    </w:p>
    <w:tbl>
      <w:tblPr>
        <w:tblStyle w:val="32"/>
        <w:tblW w:w="0" w:type="auto"/>
        <w:jc w:val="center"/>
        <w:tblBorders>
          <w:top w:val="single" w:color="D9B8BD" w:sz="4" w:space="0"/>
          <w:left w:val="single" w:color="D9B8BD" w:sz="4" w:space="0"/>
          <w:bottom w:val="single" w:color="D9B8BD" w:sz="4" w:space="0"/>
          <w:right w:val="single" w:color="D9B8BD" w:sz="4" w:space="0"/>
          <w:insideH w:val="single" w:color="D9B8BD" w:sz="4" w:space="0"/>
          <w:insideV w:val="single" w:color="D9B8BD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4"/>
        <w:gridCol w:w="3324"/>
        <w:gridCol w:w="3324"/>
      </w:tblGrid>
      <w:tr w14:paraId="09C164E0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4" w:type="dxa"/>
            <w:shd w:val="clear" w:color="auto" w:fill="A61B29"/>
          </w:tcPr>
          <w:p w14:paraId="7516C06D">
            <w:r>
              <w:rPr>
                <w:rFonts w:ascii="Arial" w:hAnsi="Arial" w:eastAsia="微软雅黑"/>
                <w:b/>
                <w:color w:val="FFFFFF"/>
                <w:sz w:val="18"/>
              </w:rPr>
              <w:t>用途</w:t>
            </w:r>
          </w:p>
        </w:tc>
        <w:tc>
          <w:tcPr>
            <w:tcW w:w="3324" w:type="dxa"/>
            <w:shd w:val="clear" w:color="auto" w:fill="A61B29"/>
          </w:tcPr>
          <w:p w14:paraId="636CCD13">
            <w:r>
              <w:rPr>
                <w:rFonts w:ascii="Arial" w:hAnsi="Arial" w:eastAsia="微软雅黑"/>
                <w:b/>
                <w:color w:val="FFFFFF"/>
                <w:sz w:val="18"/>
              </w:rPr>
              <w:t>推荐配方</w:t>
            </w:r>
          </w:p>
        </w:tc>
        <w:tc>
          <w:tcPr>
            <w:tcW w:w="3324" w:type="dxa"/>
            <w:shd w:val="clear" w:color="auto" w:fill="A61B29"/>
          </w:tcPr>
          <w:p w14:paraId="30421B18">
            <w:r>
              <w:rPr>
                <w:rFonts w:ascii="Arial" w:hAnsi="Arial" w:eastAsia="微软雅黑"/>
                <w:b/>
                <w:color w:val="FFFFFF"/>
                <w:sz w:val="18"/>
              </w:rPr>
              <w:t>说明</w:t>
            </w:r>
          </w:p>
        </w:tc>
      </w:tr>
      <w:tr w14:paraId="356513AF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41C3DA">
            <w:r>
              <w:rPr>
                <w:rFonts w:ascii="Arial" w:hAnsi="Arial" w:eastAsia="微软雅黑"/>
                <w:color w:val="262626"/>
                <w:sz w:val="17"/>
              </w:rPr>
              <w:t>结合/洗涤</w:t>
            </w:r>
          </w:p>
        </w:tc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DA05F4">
            <w:r>
              <w:rPr>
                <w:rFonts w:ascii="Arial" w:hAnsi="Arial" w:eastAsia="微软雅黑"/>
                <w:color w:val="262626"/>
                <w:sz w:val="17"/>
              </w:rPr>
              <w:t>PBS，pH 7.2–7.4（如 10 mM phosphate, 150 mM NaCl）</w:t>
            </w:r>
          </w:p>
        </w:tc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179ED3A">
            <w:r>
              <w:rPr>
                <w:rFonts w:ascii="Arial" w:hAnsi="Arial" w:eastAsia="微软雅黑"/>
                <w:color w:val="262626"/>
                <w:sz w:val="17"/>
              </w:rPr>
              <w:t>多数 IgG 纯化及常规 IP 适用</w:t>
            </w:r>
          </w:p>
        </w:tc>
      </w:tr>
      <w:tr w14:paraId="11253E44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4" w:type="dxa"/>
            <w:shd w:val="clear" w:color="auto" w:fill="F7E9E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107C3E">
            <w:r>
              <w:rPr>
                <w:rFonts w:ascii="Arial" w:hAnsi="Arial" w:eastAsia="微软雅黑"/>
                <w:color w:val="262626"/>
                <w:sz w:val="17"/>
              </w:rPr>
              <w:t>IP/Co-IP 洗涤</w:t>
            </w:r>
          </w:p>
        </w:tc>
        <w:tc>
          <w:tcPr>
            <w:tcW w:w="3324" w:type="dxa"/>
            <w:shd w:val="clear" w:color="auto" w:fill="F7E9E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635ACE">
            <w:r>
              <w:rPr>
                <w:rFonts w:ascii="Arial" w:hAnsi="Arial" w:eastAsia="微软雅黑"/>
                <w:color w:val="262626"/>
                <w:sz w:val="17"/>
              </w:rPr>
              <w:t>PBS 或 TBS；可按需要加入 0.05–0.1% Tween-20</w:t>
            </w:r>
          </w:p>
        </w:tc>
        <w:tc>
          <w:tcPr>
            <w:tcW w:w="3324" w:type="dxa"/>
            <w:shd w:val="clear" w:color="auto" w:fill="F7E9E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6E6D4E">
            <w:r>
              <w:rPr>
                <w:rFonts w:ascii="Arial" w:hAnsi="Arial" w:eastAsia="微软雅黑"/>
                <w:color w:val="262626"/>
                <w:sz w:val="17"/>
              </w:rPr>
              <w:t>高背景时可适度提高盐浓度或洗涤次数</w:t>
            </w:r>
          </w:p>
        </w:tc>
      </w:tr>
      <w:tr w14:paraId="4FBD9074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3CB62D">
            <w:r>
              <w:rPr>
                <w:rFonts w:ascii="Arial" w:hAnsi="Arial" w:eastAsia="微软雅黑"/>
                <w:color w:val="262626"/>
                <w:sz w:val="17"/>
              </w:rPr>
              <w:t>酸性洗脱</w:t>
            </w:r>
          </w:p>
        </w:tc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6DD923">
            <w:r>
              <w:rPr>
                <w:rFonts w:ascii="Arial" w:hAnsi="Arial" w:eastAsia="微软雅黑"/>
                <w:color w:val="262626"/>
                <w:sz w:val="17"/>
              </w:rPr>
              <w:t>0.1 M Glycine-HCl，pH 2.5–3.0</w:t>
            </w:r>
          </w:p>
        </w:tc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3BB70C">
            <w:r>
              <w:rPr>
                <w:rFonts w:ascii="Arial" w:hAnsi="Arial" w:eastAsia="微软雅黑"/>
                <w:color w:val="262626"/>
                <w:sz w:val="17"/>
              </w:rPr>
              <w:t>洗脱后立即中和</w:t>
            </w:r>
          </w:p>
        </w:tc>
      </w:tr>
      <w:tr w14:paraId="44C34564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4" w:type="dxa"/>
            <w:shd w:val="clear" w:color="auto" w:fill="F7E9E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351E9A">
            <w:r>
              <w:rPr>
                <w:rFonts w:ascii="Arial" w:hAnsi="Arial" w:eastAsia="微软雅黑"/>
                <w:color w:val="262626"/>
                <w:sz w:val="17"/>
              </w:rPr>
              <w:t>中和</w:t>
            </w:r>
          </w:p>
        </w:tc>
        <w:tc>
          <w:tcPr>
            <w:tcW w:w="3324" w:type="dxa"/>
            <w:shd w:val="clear" w:color="auto" w:fill="F7E9E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3765F7">
            <w:r>
              <w:rPr>
                <w:rFonts w:ascii="Arial" w:hAnsi="Arial" w:eastAsia="微软雅黑"/>
                <w:color w:val="262626"/>
                <w:sz w:val="17"/>
              </w:rPr>
              <w:t>1 M Tris-HCl，pH 8.5–9.0</w:t>
            </w:r>
          </w:p>
        </w:tc>
        <w:tc>
          <w:tcPr>
            <w:tcW w:w="3324" w:type="dxa"/>
            <w:shd w:val="clear" w:color="auto" w:fill="F7E9EB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106348">
            <w:r>
              <w:rPr>
                <w:rFonts w:ascii="Arial" w:hAnsi="Arial" w:eastAsia="微软雅黑"/>
                <w:color w:val="262626"/>
                <w:sz w:val="17"/>
              </w:rPr>
              <w:t>可预加于收集管中，体积需优化</w:t>
            </w:r>
          </w:p>
        </w:tc>
      </w:tr>
      <w:tr w14:paraId="61F1037C">
        <w:tblPrEx>
          <w:tblBorders>
            <w:top w:val="single" w:color="D9B8BD" w:sz="4" w:space="0"/>
            <w:left w:val="single" w:color="D9B8BD" w:sz="4" w:space="0"/>
            <w:bottom w:val="single" w:color="D9B8BD" w:sz="4" w:space="0"/>
            <w:right w:val="single" w:color="D9B8BD" w:sz="4" w:space="0"/>
            <w:insideH w:val="single" w:color="D9B8BD" w:sz="4" w:space="0"/>
            <w:insideV w:val="single" w:color="D9B8B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A07263">
            <w:r>
              <w:rPr>
                <w:rFonts w:ascii="Arial" w:hAnsi="Arial" w:eastAsia="微软雅黑"/>
                <w:color w:val="262626"/>
                <w:sz w:val="17"/>
              </w:rPr>
              <w:t>变性洗脱</w:t>
            </w:r>
          </w:p>
        </w:tc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BCDE73">
            <w:r>
              <w:rPr>
                <w:rFonts w:ascii="Arial" w:hAnsi="Arial" w:eastAsia="微软雅黑"/>
                <w:color w:val="262626"/>
                <w:sz w:val="17"/>
              </w:rPr>
              <w:t>1× SDS-PAGE sample buffer</w:t>
            </w:r>
          </w:p>
        </w:tc>
        <w:tc>
          <w:tcPr>
            <w:tcW w:w="3324" w:type="dxa"/>
            <w:shd w:val="clear" w:color="auto" w:fill="FCF5F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5EC45A">
            <w:r>
              <w:rPr>
                <w:rFonts w:ascii="Arial" w:hAnsi="Arial" w:eastAsia="微软雅黑"/>
                <w:color w:val="262626"/>
                <w:sz w:val="17"/>
              </w:rPr>
              <w:t>适用于 IP/Co-IP 后直接电泳</w:t>
            </w:r>
          </w:p>
        </w:tc>
      </w:tr>
    </w:tbl>
    <w:p w14:paraId="0D126CA4">
      <w:pPr>
        <w:pStyle w:val="3"/>
        <w:spacing w:before="160" w:after="60"/>
      </w:pPr>
      <w:r>
        <w:t>5. 操作流程 A：抗体纯化</w:t>
      </w:r>
    </w:p>
    <w:p w14:paraId="24569232">
      <w:pPr>
        <w:spacing w:after="40"/>
      </w:pPr>
      <w:r>
        <w:rPr>
          <w:b/>
        </w:rPr>
        <w:t xml:space="preserve">1. </w:t>
      </w:r>
      <w:r>
        <w:t>充分颠倒或轻柔涡旋混匀磁珠，避免沉降导致取样误差。</w:t>
      </w:r>
    </w:p>
    <w:p w14:paraId="4BBE435F">
      <w:pPr>
        <w:spacing w:after="40"/>
      </w:pPr>
      <w:r>
        <w:rPr>
          <w:b/>
        </w:rPr>
        <w:t xml:space="preserve">2. </w:t>
      </w:r>
      <w:r>
        <w:t>取所需体积的 40% slurry 于离心管中。例如 50 μL s</w:t>
      </w:r>
      <w:bookmarkStart w:id="0" w:name="_GoBack"/>
      <w:bookmarkEnd w:id="0"/>
      <w:r>
        <w:t>lurry 约相当于 20 μL settled beads。</w:t>
      </w:r>
    </w:p>
    <w:p w14:paraId="656116E0">
      <w:pPr>
        <w:spacing w:after="40"/>
      </w:pPr>
      <w:r>
        <w:rPr>
          <w:b/>
        </w:rPr>
        <w:t xml:space="preserve">3. </w:t>
      </w:r>
      <w:r>
        <w:t>置于磁力架，待磁珠完全吸附后弃上清。加入 0.5–1.0 mL 结合/洗涤缓冲液充分重悬，磁分离后弃上清；重复 1 次。</w:t>
      </w:r>
    </w:p>
    <w:p w14:paraId="3A56D665">
      <w:pPr>
        <w:spacing w:after="40"/>
      </w:pPr>
      <w:r>
        <w:rPr>
          <w:b/>
        </w:rPr>
        <w:t xml:space="preserve">4. </w:t>
      </w:r>
      <w:r>
        <w:t>加入含 IgG 的样本。样本量应与磁珠实测结合容量匹配；高黏度或高浓度样本可适当稀释。</w:t>
      </w:r>
    </w:p>
    <w:p w14:paraId="648A798E">
      <w:pPr>
        <w:spacing w:after="40"/>
      </w:pPr>
      <w:r>
        <w:rPr>
          <w:b/>
        </w:rPr>
        <w:t xml:space="preserve">5. </w:t>
      </w:r>
      <w:r>
        <w:t>室温旋转混匀 60 min；也可在 2–8°C 孵育</w:t>
      </w:r>
      <w:r>
        <w:rPr>
          <w:rFonts w:hint="eastAsia"/>
          <w:lang w:val="en-US" w:eastAsia="zh-CN"/>
        </w:rPr>
        <w:t>2-4小时</w:t>
      </w:r>
      <w:r>
        <w:t>。孵育过程中应保持磁珠悬浮。</w:t>
      </w:r>
    </w:p>
    <w:p w14:paraId="7667D67A">
      <w:pPr>
        <w:spacing w:after="40"/>
      </w:pPr>
      <w:r>
        <w:rPr>
          <w:b/>
        </w:rPr>
        <w:t xml:space="preserve">6. </w:t>
      </w:r>
      <w:r>
        <w:t>磁分离并移出上清。需要评估结合效率时，可保留流穿液进行蛋白定量或 SDS-PAGE。</w:t>
      </w:r>
    </w:p>
    <w:p w14:paraId="15AD55DC">
      <w:pPr>
        <w:spacing w:after="40"/>
      </w:pPr>
      <w:r>
        <w:rPr>
          <w:b/>
        </w:rPr>
        <w:t xml:space="preserve">7. </w:t>
      </w:r>
      <w:r>
        <w:t>加入 0.5–1.0 mL 结合/洗涤缓冲液，重悬混匀后磁分离；重复 2–3 次。</w:t>
      </w:r>
    </w:p>
    <w:p w14:paraId="6732BAEE">
      <w:pPr>
        <w:spacing w:after="40"/>
      </w:pPr>
      <w:r>
        <w:rPr>
          <w:b/>
        </w:rPr>
        <w:t xml:space="preserve">8. </w:t>
      </w:r>
      <w:r>
        <w:t>加入适量酸性洗脱液，充分重悬，室温孵育约 5–10 min。</w:t>
      </w:r>
    </w:p>
    <w:p w14:paraId="7B7D56D7">
      <w:pPr>
        <w:spacing w:after="40"/>
      </w:pPr>
      <w:r>
        <w:rPr>
          <w:b/>
        </w:rPr>
        <w:t xml:space="preserve">9. </w:t>
      </w:r>
      <w:r>
        <w:t>磁分离并收集洗脱液。建议收集管预加中和液，使抗体尽快恢复至近中性条件。</w:t>
      </w:r>
    </w:p>
    <w:p w14:paraId="4611285D">
      <w:pPr>
        <w:spacing w:after="40"/>
      </w:pPr>
      <w:r>
        <w:rPr>
          <w:b/>
        </w:rPr>
        <w:t xml:space="preserve">10. </w:t>
      </w:r>
      <w:r>
        <w:t>如需提高回收率，可重复洗脱 1 次，并根据后续实验决定是否合并洗脱组分。</w:t>
      </w:r>
    </w:p>
    <w:p w14:paraId="57E592A9">
      <w:pPr>
        <w:pStyle w:val="3"/>
        <w:spacing w:before="160" w:after="60"/>
      </w:pPr>
      <w:r>
        <w:t>6. 操作流程 B：IP / Co-IP</w:t>
      </w:r>
    </w:p>
    <w:p w14:paraId="47FF4EF6">
      <w:pPr>
        <w:spacing w:after="40"/>
      </w:pPr>
      <w:r>
        <w:rPr>
          <w:b/>
        </w:rPr>
        <w:t xml:space="preserve">1. </w:t>
      </w:r>
      <w:r>
        <w:t>样本制备：使用适合目标蛋白及蛋白互作保存的裂解体系制备澄清裂解液。建议低温操作并加入适当蛋白酶/磷酸酶抑制剂。</w:t>
      </w:r>
    </w:p>
    <w:p w14:paraId="0A2D9C20">
      <w:pPr>
        <w:spacing w:after="40"/>
      </w:pPr>
      <w:r>
        <w:rPr>
          <w:b/>
        </w:rPr>
        <w:t xml:space="preserve">2. </w:t>
      </w:r>
      <w:r>
        <w:t>磁珠预洗：充分重悬后取适量磁珠，磁分离弃保存液，用裂解/结合缓冲液洗涤 2 次。</w:t>
      </w:r>
    </w:p>
    <w:p w14:paraId="5E6D9E86">
      <w:pPr>
        <w:spacing w:after="40"/>
      </w:pPr>
      <w:r>
        <w:rPr>
          <w:b/>
        </w:rPr>
        <w:t xml:space="preserve">3. </w:t>
      </w:r>
      <w:r>
        <w:t>抗体结合：可将特异性抗体先与 Protein A/G 磁珠在 2–8°C 孵育</w:t>
      </w:r>
      <w:r>
        <w:rPr>
          <w:rFonts w:hint="eastAsia"/>
          <w:lang w:val="en-US" w:eastAsia="zh-CN"/>
        </w:rPr>
        <w:t>1小时</w:t>
      </w:r>
      <w:r>
        <w:t xml:space="preserve"> 后加入样本；也可先使抗体与样本形成免疫复合物，再加入磁珠。</w:t>
      </w:r>
    </w:p>
    <w:p w14:paraId="5E0D206F">
      <w:pPr>
        <w:spacing w:after="40"/>
      </w:pPr>
      <w:r>
        <w:rPr>
          <w:b/>
        </w:rPr>
        <w:t xml:space="preserve">4. </w:t>
      </w:r>
      <w:r>
        <w:t xml:space="preserve">免疫沉淀：加入样本后于 4°C 旋转孵育 </w:t>
      </w:r>
      <w:r>
        <w:rPr>
          <w:rFonts w:hint="eastAsia"/>
          <w:lang w:val="en-US" w:eastAsia="zh-CN"/>
        </w:rPr>
        <w:t>2</w:t>
      </w:r>
      <w:r>
        <w:t>–4 h。低丰度靶标可适当延长，但过夜孵育可能增加非特异背景。</w:t>
      </w:r>
    </w:p>
    <w:p w14:paraId="2CED2BB6">
      <w:pPr>
        <w:spacing w:after="40"/>
      </w:pPr>
      <w:r>
        <w:rPr>
          <w:b/>
        </w:rPr>
        <w:t xml:space="preserve">5. </w:t>
      </w:r>
      <w:r>
        <w:t>磁分离后弃上清，用预冷洗涤缓冲液洗涤 3–5 次。每次应完全重悬磁珠后再磁分离。</w:t>
      </w:r>
    </w:p>
    <w:p w14:paraId="7BA66242">
      <w:pPr>
        <w:spacing w:after="40"/>
      </w:pPr>
      <w:r>
        <w:rPr>
          <w:b/>
        </w:rPr>
        <w:t xml:space="preserve">6. </w:t>
      </w:r>
      <w:r>
        <w:t>洗脱：用于 Western blot 时可加入 SDS-PAGE sample buffer 变性洗脱；若需保持活性或用于质谱，可选择酸性或其他温和洗脱条件。</w:t>
      </w:r>
    </w:p>
    <w:p w14:paraId="2FB3854A">
      <w:pPr>
        <w:spacing w:after="40"/>
      </w:pPr>
      <w:r>
        <w:rPr>
          <w:b/>
        </w:rPr>
        <w:t xml:space="preserve">7. </w:t>
      </w:r>
      <w:r>
        <w:t>建议设置 Input、Flow-through、IgG 阴性对照和 Beads-only 对照，以判断抗体特异性和磁珠背景。</w:t>
      </w:r>
    </w:p>
    <w:p w14:paraId="4ED5511B">
      <w:pPr>
        <w:pStyle w:val="3"/>
        <w:spacing w:before="160" w:after="60"/>
      </w:pPr>
      <w:r>
        <w:rPr>
          <w:rFonts w:hint="eastAsia" w:eastAsia="宋体"/>
          <w:lang w:val="en-US" w:eastAsia="zh-CN"/>
        </w:rPr>
        <w:t>7</w:t>
      </w:r>
      <w:r>
        <w:t>. 注意事项</w:t>
      </w:r>
    </w:p>
    <w:p w14:paraId="74659618">
      <w:pPr>
        <w:pStyle w:val="16"/>
        <w:spacing w:after="30"/>
      </w:pPr>
      <w:r>
        <w:t>仅供科研使用，不用于人体或动物的诊断、治疗或临床用途。</w:t>
      </w:r>
    </w:p>
    <w:p w14:paraId="057A66A1">
      <w:pPr>
        <w:pStyle w:val="16"/>
        <w:spacing w:after="30"/>
      </w:pPr>
      <w:r>
        <w:t>不同磁力架的磁场强度和管型会影响磁分离时间。对于 1–5 μm 小粒径磁性琼脂糖微球，建议使用与样本体积匹配的高强度磁力架。</w:t>
      </w:r>
    </w:p>
    <w:p w14:paraId="100F9E2E">
      <w:pPr>
        <w:pStyle w:val="16"/>
        <w:spacing w:after="30"/>
      </w:pPr>
      <w:r>
        <w:t>磁珠在磁力架上不应放置过久至表面干燥；弃上清后应及时加入下一步缓冲液。</w:t>
      </w:r>
    </w:p>
    <w:p w14:paraId="256B9359">
      <w:pPr>
        <w:pStyle w:val="16"/>
        <w:spacing w:after="30"/>
      </w:pPr>
      <w:r>
        <w:t>若最终保存液含叠氮钠，应在标签和安全信息中明确标注，并与实际产品配方保持一致。</w:t>
      </w:r>
    </w:p>
    <w:p w14:paraId="19CCCECD">
      <w:pPr>
        <w:pStyle w:val="16"/>
        <w:spacing w:after="30"/>
      </w:pPr>
      <w:r>
        <w:t>本说明书给出的缓冲体系和孵育条件为通用起始条件，应针对具体抗体、样本和目标蛋白进行优化。</w:t>
      </w:r>
    </w:p>
    <w:p w14:paraId="730B2A5B">
      <w:pPr>
        <w:spacing w:after="60" w:line="269" w:lineRule="auto"/>
      </w:pPr>
    </w:p>
    <w:sectPr>
      <w:headerReference r:id="rId5" w:type="default"/>
      <w:footerReference r:id="rId6" w:type="default"/>
      <w:pgSz w:w="12240" w:h="15840"/>
      <w:pgMar w:top="1020" w:right="1134" w:bottom="1020" w:left="1134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DIN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1FEFF">
    <w:pPr>
      <w:pStyle w:val="24"/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95619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995619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95976">
    <w:pPr>
      <w:pStyle w:val="25"/>
      <w:pBdr>
        <w:bottom w:val="single" w:color="A61B29" w:sz="14" w:space="4"/>
      </w:pBdr>
      <w:jc w:val="right"/>
    </w:pPr>
    <w:r>
      <w:rPr>
        <w:rFonts w:ascii="Arial" w:hAnsi="Arial" w:eastAsia="微软雅黑"/>
        <w:b/>
        <w:color w:val="A61B29"/>
        <w:sz w:val="18"/>
      </w:rPr>
      <w:t>弘溪联生物科技  |  RedConju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B34FA0"/>
    <w:rsid w:val="0C662A91"/>
    <w:rsid w:val="0DB25F8E"/>
    <w:rsid w:val="0EE96807"/>
    <w:rsid w:val="149C1746"/>
    <w:rsid w:val="23CE11F0"/>
    <w:rsid w:val="24C85C3F"/>
    <w:rsid w:val="2BD4136D"/>
    <w:rsid w:val="32E427DE"/>
    <w:rsid w:val="34F82570"/>
    <w:rsid w:val="3B1E43B3"/>
    <w:rsid w:val="471274C2"/>
    <w:rsid w:val="4F766114"/>
    <w:rsid w:val="5A77797C"/>
    <w:rsid w:val="5CE84AF5"/>
    <w:rsid w:val="6A242EE4"/>
    <w:rsid w:val="71A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A61B29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A61B29"/>
      <w:sz w:val="23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A61B29"/>
      <w:spacing w:val="5"/>
      <w:kern w:val="28"/>
      <w:sz w:val="40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2353</Words>
  <Characters>3188</Characters>
  <Lines>0</Lines>
  <Paragraphs>0</Paragraphs>
  <TotalTime>6</TotalTime>
  <ScaleCrop>false</ScaleCrop>
  <LinksUpToDate>false</LinksUpToDate>
  <CharactersWithSpaces>3471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十言i</cp:lastModifiedBy>
  <dcterms:modified xsi:type="dcterms:W3CDTF">2026-08-13T01:17:18Z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0CB8847372E8402BA0B18918014FA148_13</vt:lpwstr>
  </property>
  <property fmtid="{D5CDD505-2E9C-101B-9397-08002B2CF9AE}" pid="4" name="KSOTemplateDocerSaveRecord">
    <vt:lpwstr>eyJoZGlkIjoiMGMwYWY5NjQ3NzdiYzcwNWVlYjA5NWRkNDY3MzZmOWEiLCJ1c2VySWQiOiIzMTQwOTY1OTAifQ==</vt:lpwstr>
  </property>
</Properties>
</file>