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E2263" w14:textId="77777777" w:rsidR="00010EF1" w:rsidRDefault="00000000">
      <w:pPr>
        <w:spacing w:after="0"/>
      </w:pPr>
      <w:r>
        <w:rPr>
          <w:b/>
          <w:color w:val="B54708"/>
          <w:sz w:val="21"/>
        </w:rPr>
        <w:t>RED CONJUGATION TECHNOLOGY</w:t>
      </w:r>
    </w:p>
    <w:p w14:paraId="3459FEA4" w14:textId="1EB64D24" w:rsidR="00010EF1" w:rsidRDefault="00000000">
      <w:pPr>
        <w:keepNext/>
        <w:spacing w:after="160"/>
      </w:pPr>
      <w:r>
        <w:rPr>
          <w:b/>
          <w:color w:val="7A271A"/>
          <w:sz w:val="62"/>
        </w:rPr>
        <w:t xml:space="preserve">NTA </w:t>
      </w:r>
      <w:r>
        <w:rPr>
          <w:b/>
          <w:color w:val="7A271A"/>
          <w:sz w:val="62"/>
        </w:rPr>
        <w:t>琼脂糖磁珠</w:t>
      </w:r>
    </w:p>
    <w:p w14:paraId="7B8AA8C6" w14:textId="77777777" w:rsidR="00010EF1" w:rsidRDefault="00000000">
      <w:pPr>
        <w:pStyle w:val="af"/>
      </w:pPr>
      <w:r>
        <w:rPr>
          <w:rFonts w:ascii="Calibri" w:eastAsia="微软雅黑" w:hAnsi="Calibri"/>
        </w:rPr>
        <w:t xml:space="preserve">1–5 μm  |  </w:t>
      </w:r>
      <w:r>
        <w:rPr>
          <w:rFonts w:ascii="Calibri" w:eastAsia="微软雅黑" w:hAnsi="Calibri" w:hint="eastAsia"/>
          <w:lang w:val="en-US"/>
        </w:rPr>
        <w:t>40</w:t>
      </w:r>
      <w:r>
        <w:rPr>
          <w:rFonts w:ascii="Calibri" w:eastAsia="微软雅黑" w:hAnsi="Calibri"/>
        </w:rPr>
        <w:t xml:space="preserve">% (v/v) slurry  |  His </w:t>
      </w:r>
      <w:r>
        <w:rPr>
          <w:rFonts w:ascii="Calibri" w:eastAsia="微软雅黑" w:hAnsi="Calibri"/>
        </w:rPr>
        <w:t>标签蛋白快速磁性纯化</w:t>
      </w:r>
    </w:p>
    <w:tbl>
      <w:tblPr>
        <w:tblStyle w:val="af4"/>
        <w:tblW w:w="9360" w:type="dxa"/>
        <w:tblInd w:w="120" w:type="dxa"/>
        <w:tblBorders>
          <w:top w:val="single" w:sz="4" w:space="0" w:color="D0D5DD"/>
          <w:left w:val="single" w:sz="4" w:space="0" w:color="D0D5DD"/>
          <w:bottom w:val="single" w:sz="4" w:space="0" w:color="D0D5DD"/>
          <w:right w:val="single" w:sz="4" w:space="0" w:color="D0D5DD"/>
          <w:insideH w:val="single" w:sz="4" w:space="0" w:color="D0D5DD"/>
          <w:insideV w:val="single" w:sz="4" w:space="0" w:color="D0D5DD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2760"/>
        <w:gridCol w:w="1000"/>
        <w:gridCol w:w="4400"/>
      </w:tblGrid>
      <w:tr w:rsidR="00010EF1" w14:paraId="0D87865A" w14:textId="77777777">
        <w:trPr>
          <w:cantSplit/>
        </w:trPr>
        <w:tc>
          <w:tcPr>
            <w:tcW w:w="12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79B3E9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8"/>
              </w:rPr>
              <w:t>文件编号</w:t>
            </w:r>
          </w:p>
        </w:tc>
        <w:tc>
          <w:tcPr>
            <w:tcW w:w="2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F7AE6A" w14:textId="77777777" w:rsidR="00010EF1" w:rsidRDefault="00000000">
            <w:pPr>
              <w:spacing w:after="0"/>
            </w:pPr>
            <w:r>
              <w:rPr>
                <w:sz w:val="18"/>
              </w:rPr>
              <w:t>RC-IFU-NINTA-MA-001</w:t>
            </w:r>
          </w:p>
        </w:tc>
        <w:tc>
          <w:tcPr>
            <w:tcW w:w="10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EAD7E6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8"/>
              </w:rPr>
              <w:t>版本</w:t>
            </w:r>
          </w:p>
        </w:tc>
        <w:tc>
          <w:tcPr>
            <w:tcW w:w="4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695FA8" w14:textId="77777777" w:rsidR="00010EF1" w:rsidRDefault="00000000">
            <w:pPr>
              <w:spacing w:after="0"/>
            </w:pPr>
            <w:r>
              <w:rPr>
                <w:sz w:val="18"/>
              </w:rPr>
              <w:t>V1.0</w:t>
            </w:r>
          </w:p>
        </w:tc>
      </w:tr>
      <w:tr w:rsidR="00010EF1" w14:paraId="76E4F3CB" w14:textId="77777777">
        <w:trPr>
          <w:cantSplit/>
        </w:trPr>
        <w:tc>
          <w:tcPr>
            <w:tcW w:w="12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39E7C4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8"/>
              </w:rPr>
              <w:t>编制日期</w:t>
            </w:r>
          </w:p>
        </w:tc>
        <w:tc>
          <w:tcPr>
            <w:tcW w:w="2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7CFF19" w14:textId="77777777" w:rsidR="00010EF1" w:rsidRDefault="00000000">
            <w:pPr>
              <w:spacing w:after="0"/>
            </w:pPr>
            <w:r>
              <w:rPr>
                <w:sz w:val="18"/>
              </w:rPr>
              <w:t>2026-08-11</w:t>
            </w:r>
          </w:p>
        </w:tc>
        <w:tc>
          <w:tcPr>
            <w:tcW w:w="10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536B6C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8"/>
              </w:rPr>
              <w:t>生产商</w:t>
            </w:r>
          </w:p>
        </w:tc>
        <w:tc>
          <w:tcPr>
            <w:tcW w:w="4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4D0C7E" w14:textId="77777777" w:rsidR="00010EF1" w:rsidRDefault="00000000">
            <w:pPr>
              <w:spacing w:after="0"/>
            </w:pPr>
            <w:r>
              <w:rPr>
                <w:sz w:val="18"/>
              </w:rPr>
              <w:t>弘溪联生物科技（上海）有限公司</w:t>
            </w:r>
          </w:p>
        </w:tc>
      </w:tr>
    </w:tbl>
    <w:p w14:paraId="4869B186" w14:textId="77777777" w:rsidR="00010EF1" w:rsidRDefault="00010EF1">
      <w:pPr>
        <w:spacing w:after="60"/>
      </w:pPr>
    </w:p>
    <w:tbl>
      <w:tblPr>
        <w:tblStyle w:val="af4"/>
        <w:tblW w:w="9360" w:type="dxa"/>
        <w:tblInd w:w="120" w:type="dxa"/>
        <w:tblBorders>
          <w:top w:val="single" w:sz="4" w:space="0" w:color="D0D5DD"/>
          <w:left w:val="single" w:sz="4" w:space="0" w:color="D0D5DD"/>
          <w:bottom w:val="single" w:sz="4" w:space="0" w:color="D0D5DD"/>
          <w:right w:val="single" w:sz="4" w:space="0" w:color="D0D5DD"/>
          <w:insideH w:val="single" w:sz="4" w:space="0" w:color="D0D5DD"/>
          <w:insideV w:val="single" w:sz="4" w:space="0" w:color="D0D5DD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010EF1" w14:paraId="4D0298BE" w14:textId="77777777">
        <w:tc>
          <w:tcPr>
            <w:tcW w:w="9360" w:type="dxa"/>
            <w:shd w:val="clear" w:color="auto" w:fill="FEF3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CC4869" w14:textId="77777777" w:rsidR="00010EF1" w:rsidRDefault="00000000">
            <w:pPr>
              <w:spacing w:after="0" w:line="283" w:lineRule="auto"/>
            </w:pPr>
            <w:r>
              <w:rPr>
                <w:b/>
                <w:color w:val="B42318"/>
                <w:sz w:val="20"/>
              </w:rPr>
              <w:t>用途声明</w:t>
            </w:r>
            <w:r>
              <w:rPr>
                <w:b/>
                <w:color w:val="B42318"/>
                <w:sz w:val="20"/>
              </w:rPr>
              <w:t xml:space="preserve">  </w:t>
            </w:r>
            <w:r>
              <w:rPr>
                <w:sz w:val="20"/>
              </w:rPr>
              <w:t>本产品仅用于科研目的（</w:t>
            </w:r>
            <w:r>
              <w:rPr>
                <w:sz w:val="20"/>
              </w:rPr>
              <w:t>Research Use Only</w:t>
            </w:r>
            <w:r>
              <w:rPr>
                <w:sz w:val="20"/>
              </w:rPr>
              <w:t>），不得用于临床诊断、治疗、食品或人体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动物直接使用。</w:t>
            </w:r>
          </w:p>
        </w:tc>
      </w:tr>
    </w:tbl>
    <w:p w14:paraId="77AA9E7E" w14:textId="77777777" w:rsidR="00010EF1" w:rsidRDefault="00000000">
      <w:pPr>
        <w:pStyle w:val="1"/>
      </w:pPr>
      <w:r>
        <w:rPr>
          <w:rFonts w:ascii="Calibri" w:eastAsia="微软雅黑" w:hAnsi="Calibri"/>
        </w:rPr>
        <w:t xml:space="preserve">1. </w:t>
      </w:r>
      <w:r>
        <w:rPr>
          <w:rFonts w:ascii="Calibri" w:eastAsia="微软雅黑" w:hAnsi="Calibri"/>
        </w:rPr>
        <w:t>产品概述与作用原理</w:t>
      </w:r>
    </w:p>
    <w:p w14:paraId="678F3012" w14:textId="77777777" w:rsidR="00010EF1" w:rsidRDefault="00000000">
      <w:r>
        <w:t>本品以磁性琼脂糖微球为基质，共价引入次氮基三乙酸（</w:t>
      </w:r>
      <w:r>
        <w:t>NTA</w:t>
      </w:r>
      <w:r>
        <w:t>）配基并螯合</w:t>
      </w:r>
      <w:r>
        <w:t xml:space="preserve"> Ni²⁺</w:t>
      </w:r>
      <w:r>
        <w:t>。</w:t>
      </w:r>
      <w:r>
        <w:t>Ni²⁺</w:t>
      </w:r>
      <w:r>
        <w:t>与多聚组氨酸标签中的咪唑基团发生配位，使</w:t>
      </w:r>
      <w:r>
        <w:t xml:space="preserve"> His </w:t>
      </w:r>
      <w:r>
        <w:t>标签融合蛋白被捕获；非结合蛋白经洗涤去除，目标蛋白可用高浓度咪唑竞争洗脱。</w:t>
      </w:r>
    </w:p>
    <w:p w14:paraId="7B341CBE" w14:textId="77777777" w:rsidR="00010EF1" w:rsidRDefault="00000000">
      <w:r>
        <w:t>本品适用于小规模、平行化和条件筛选型</w:t>
      </w:r>
      <w:r>
        <w:t xml:space="preserve"> His </w:t>
      </w:r>
      <w:r>
        <w:t>标签蛋白纯化。默认推荐从澄清裂解液开始；未澄清裂解液虽可能直接处理，但会增加黏度、杂质包埋、磁吸变慢及磁珠带出的风险，必须先做小规模验证。</w:t>
      </w:r>
    </w:p>
    <w:p w14:paraId="193FAF0B" w14:textId="77777777" w:rsidR="00010EF1" w:rsidRDefault="00000000">
      <w:r>
        <w:rPr>
          <w:b/>
          <w:color w:val="B42318"/>
          <w:sz w:val="32"/>
        </w:rPr>
        <w:t xml:space="preserve">2. </w:t>
      </w:r>
      <w:r>
        <w:rPr>
          <w:b/>
          <w:color w:val="B42318"/>
          <w:sz w:val="32"/>
        </w:rPr>
        <w:t>产品信息</w:t>
      </w:r>
    </w:p>
    <w:tbl>
      <w:tblPr>
        <w:tblStyle w:val="af4"/>
        <w:tblW w:w="9360" w:type="dxa"/>
        <w:tblInd w:w="120" w:type="dxa"/>
        <w:tblBorders>
          <w:top w:val="single" w:sz="4" w:space="0" w:color="D0D5DD"/>
          <w:left w:val="single" w:sz="4" w:space="0" w:color="D0D5DD"/>
          <w:bottom w:val="single" w:sz="4" w:space="0" w:color="D0D5DD"/>
          <w:right w:val="single" w:sz="4" w:space="0" w:color="D0D5DD"/>
          <w:insideH w:val="single" w:sz="4" w:space="0" w:color="D0D5DD"/>
          <w:insideV w:val="single" w:sz="4" w:space="0" w:color="D0D5DD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7660"/>
      </w:tblGrid>
      <w:tr w:rsidR="00010EF1" w14:paraId="00E8A415" w14:textId="77777777">
        <w:trPr>
          <w:cantSplit/>
        </w:trPr>
        <w:tc>
          <w:tcPr>
            <w:tcW w:w="17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2B02F3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9"/>
              </w:rPr>
              <w:t>中文名称</w:t>
            </w:r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1D08D4" w14:textId="77777777" w:rsidR="00010EF1" w:rsidRDefault="00000000">
            <w:pPr>
              <w:spacing w:after="0"/>
            </w:pPr>
            <w:r>
              <w:rPr>
                <w:sz w:val="19"/>
              </w:rPr>
              <w:t xml:space="preserve">RedConju® Ni-NTA </w:t>
            </w:r>
            <w:r>
              <w:rPr>
                <w:sz w:val="19"/>
              </w:rPr>
              <w:t>琼脂糖磁珠</w:t>
            </w:r>
          </w:p>
        </w:tc>
      </w:tr>
      <w:tr w:rsidR="00010EF1" w:rsidRPr="00FD05C2" w14:paraId="631C9A62" w14:textId="77777777">
        <w:trPr>
          <w:cantSplit/>
        </w:trPr>
        <w:tc>
          <w:tcPr>
            <w:tcW w:w="17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B5EDD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9"/>
              </w:rPr>
              <w:t>英文名称</w:t>
            </w:r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A34F0E" w14:textId="77777777" w:rsidR="00010EF1" w:rsidRPr="00FD05C2" w:rsidRDefault="00000000">
            <w:pPr>
              <w:spacing w:after="0"/>
              <w:rPr>
                <w:lang w:val="en-US"/>
              </w:rPr>
            </w:pPr>
            <w:r w:rsidRPr="00FD05C2">
              <w:rPr>
                <w:sz w:val="19"/>
                <w:lang w:val="en-US"/>
              </w:rPr>
              <w:t>RedConju® Ni-NTA Magnetic Agarose Beads</w:t>
            </w:r>
          </w:p>
        </w:tc>
      </w:tr>
      <w:tr w:rsidR="00010EF1" w14:paraId="09CC6202" w14:textId="77777777">
        <w:trPr>
          <w:cantSplit/>
        </w:trPr>
        <w:tc>
          <w:tcPr>
            <w:tcW w:w="17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5B9AAF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9"/>
              </w:rPr>
              <w:t>基质</w:t>
            </w:r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A19CB" w14:textId="77777777" w:rsidR="00010EF1" w:rsidRDefault="00000000">
            <w:pPr>
              <w:spacing w:after="0"/>
            </w:pPr>
            <w:r>
              <w:rPr>
                <w:sz w:val="19"/>
              </w:rPr>
              <w:t>磁性琼脂糖微球</w:t>
            </w:r>
          </w:p>
        </w:tc>
      </w:tr>
      <w:tr w:rsidR="00010EF1" w14:paraId="2615349B" w14:textId="77777777">
        <w:trPr>
          <w:cantSplit/>
        </w:trPr>
        <w:tc>
          <w:tcPr>
            <w:tcW w:w="17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D8915D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9"/>
              </w:rPr>
              <w:t>亲和配基</w:t>
            </w:r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4D5DD4" w14:textId="77777777" w:rsidR="00010EF1" w:rsidRDefault="00000000">
            <w:pPr>
              <w:spacing w:after="0"/>
            </w:pPr>
            <w:r>
              <w:rPr>
                <w:sz w:val="19"/>
              </w:rPr>
              <w:t xml:space="preserve">NTA </w:t>
            </w:r>
            <w:r>
              <w:rPr>
                <w:sz w:val="19"/>
              </w:rPr>
              <w:t>螯合</w:t>
            </w:r>
            <w:r>
              <w:rPr>
                <w:sz w:val="19"/>
              </w:rPr>
              <w:t xml:space="preserve"> Ni²⁺</w:t>
            </w:r>
          </w:p>
        </w:tc>
      </w:tr>
      <w:tr w:rsidR="00010EF1" w14:paraId="7A8E8E66" w14:textId="77777777">
        <w:trPr>
          <w:cantSplit/>
        </w:trPr>
        <w:tc>
          <w:tcPr>
            <w:tcW w:w="17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FF232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9"/>
              </w:rPr>
              <w:lastRenderedPageBreak/>
              <w:t>粒径</w:t>
            </w:r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4B15C2" w14:textId="77777777" w:rsidR="00010EF1" w:rsidRDefault="00000000">
            <w:pPr>
              <w:spacing w:after="0"/>
            </w:pPr>
            <w:r>
              <w:rPr>
                <w:sz w:val="19"/>
              </w:rPr>
              <w:t>1–5 μm</w:t>
            </w:r>
          </w:p>
        </w:tc>
      </w:tr>
      <w:tr w:rsidR="00010EF1" w14:paraId="4EF720ED" w14:textId="77777777">
        <w:trPr>
          <w:cantSplit/>
        </w:trPr>
        <w:tc>
          <w:tcPr>
            <w:tcW w:w="17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F9DC39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9"/>
              </w:rPr>
              <w:t>浆液浓度</w:t>
            </w:r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824E00" w14:textId="77777777" w:rsidR="00010EF1" w:rsidRDefault="00000000">
            <w:pPr>
              <w:spacing w:after="0"/>
            </w:pPr>
            <w:r>
              <w:rPr>
                <w:rFonts w:hint="eastAsia"/>
                <w:sz w:val="19"/>
                <w:lang w:val="en-US"/>
              </w:rPr>
              <w:t>40</w:t>
            </w:r>
            <w:r>
              <w:rPr>
                <w:sz w:val="19"/>
              </w:rPr>
              <w:t>% (v/v) slurry</w:t>
            </w:r>
            <w:r>
              <w:rPr>
                <w:sz w:val="19"/>
              </w:rPr>
              <w:t>；即</w:t>
            </w:r>
            <w:r>
              <w:rPr>
                <w:sz w:val="19"/>
              </w:rPr>
              <w:t xml:space="preserve"> 1 mL </w:t>
            </w:r>
            <w:r>
              <w:rPr>
                <w:sz w:val="19"/>
              </w:rPr>
              <w:t>悬液含约</w:t>
            </w:r>
            <w:r>
              <w:rPr>
                <w:sz w:val="19"/>
              </w:rPr>
              <w:t xml:space="preserve"> 0.</w:t>
            </w:r>
            <w:r>
              <w:rPr>
                <w:rFonts w:hint="eastAsia"/>
                <w:sz w:val="19"/>
                <w:lang w:val="en-US"/>
              </w:rPr>
              <w:t>4</w:t>
            </w:r>
            <w:r>
              <w:rPr>
                <w:sz w:val="19"/>
              </w:rPr>
              <w:t xml:space="preserve"> mL settled beads</w:t>
            </w:r>
          </w:p>
        </w:tc>
      </w:tr>
      <w:tr w:rsidR="00010EF1" w:rsidRPr="00FD05C2" w14:paraId="7043CA99" w14:textId="77777777">
        <w:trPr>
          <w:cantSplit/>
        </w:trPr>
        <w:tc>
          <w:tcPr>
            <w:tcW w:w="17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B71683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9"/>
              </w:rPr>
              <w:t>结合载量</w:t>
            </w:r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E78770" w14:textId="77777777" w:rsidR="00010EF1" w:rsidRPr="00FD05C2" w:rsidRDefault="00000000">
            <w:pPr>
              <w:spacing w:after="0"/>
              <w:rPr>
                <w:lang w:val="en-US"/>
              </w:rPr>
            </w:pPr>
            <w:r>
              <w:rPr>
                <w:sz w:val="19"/>
                <w:lang w:val="en-US"/>
              </w:rPr>
              <w:t>＞</w:t>
            </w:r>
            <w:r>
              <w:rPr>
                <w:sz w:val="19"/>
                <w:lang w:val="en-US"/>
              </w:rPr>
              <w:t xml:space="preserve">40 mg 6×His-tagged protein/ml </w:t>
            </w:r>
            <w:r>
              <w:rPr>
                <w:sz w:val="19"/>
                <w:lang w:val="en-US"/>
              </w:rPr>
              <w:t>磁珠</w:t>
            </w:r>
          </w:p>
        </w:tc>
      </w:tr>
      <w:tr w:rsidR="00010EF1" w14:paraId="2F48EFBF" w14:textId="77777777">
        <w:trPr>
          <w:cantSplit/>
        </w:trPr>
        <w:tc>
          <w:tcPr>
            <w:tcW w:w="17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C0339C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9"/>
              </w:rPr>
              <w:t>适用样本</w:t>
            </w:r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88D465" w14:textId="77777777" w:rsidR="00010EF1" w:rsidRDefault="00000000">
            <w:pPr>
              <w:spacing w:after="0"/>
            </w:pPr>
            <w:r>
              <w:rPr>
                <w:sz w:val="19"/>
              </w:rPr>
              <w:t>原核</w:t>
            </w:r>
            <w:r>
              <w:rPr>
                <w:sz w:val="19"/>
              </w:rPr>
              <w:t>/</w:t>
            </w:r>
            <w:r>
              <w:rPr>
                <w:sz w:val="19"/>
              </w:rPr>
              <w:t>真核表达裂解液、细胞培养上清或预纯化样品；建议优先使用澄清样品</w:t>
            </w:r>
          </w:p>
        </w:tc>
      </w:tr>
      <w:tr w:rsidR="00010EF1" w14:paraId="385650D6" w14:textId="77777777">
        <w:trPr>
          <w:cantSplit/>
        </w:trPr>
        <w:tc>
          <w:tcPr>
            <w:tcW w:w="17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22500D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9"/>
              </w:rPr>
              <w:t>应用</w:t>
            </w:r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65B825" w14:textId="77777777" w:rsidR="00010EF1" w:rsidRDefault="00000000">
            <w:pPr>
              <w:spacing w:after="0"/>
            </w:pPr>
            <w:r>
              <w:rPr>
                <w:sz w:val="19"/>
              </w:rPr>
              <w:t xml:space="preserve">His </w:t>
            </w:r>
            <w:r>
              <w:rPr>
                <w:sz w:val="19"/>
              </w:rPr>
              <w:t>标签蛋白纯化、表达筛选、</w:t>
            </w:r>
            <w:r>
              <w:rPr>
                <w:sz w:val="19"/>
              </w:rPr>
              <w:t xml:space="preserve">pull-down </w:t>
            </w:r>
            <w:r>
              <w:rPr>
                <w:sz w:val="19"/>
              </w:rPr>
              <w:t>前处理及自动化条件开发</w:t>
            </w:r>
          </w:p>
        </w:tc>
      </w:tr>
      <w:tr w:rsidR="00010EF1" w14:paraId="0EE272EF" w14:textId="77777777">
        <w:trPr>
          <w:cantSplit/>
        </w:trPr>
        <w:tc>
          <w:tcPr>
            <w:tcW w:w="17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680312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9"/>
              </w:rPr>
              <w:t>保存</w:t>
            </w:r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4AC7DE" w14:textId="77777777" w:rsidR="00010EF1" w:rsidRDefault="00000000">
            <w:pPr>
              <w:spacing w:after="0"/>
            </w:pPr>
            <w:r>
              <w:rPr>
                <w:sz w:val="19"/>
                <w:lang w:val="en-US"/>
              </w:rPr>
              <w:t>含</w:t>
            </w:r>
            <w:r>
              <w:rPr>
                <w:sz w:val="19"/>
                <w:lang w:val="en-US"/>
              </w:rPr>
              <w:t xml:space="preserve"> 20%</w:t>
            </w:r>
            <w:r>
              <w:rPr>
                <w:sz w:val="19"/>
                <w:lang w:val="en-US"/>
              </w:rPr>
              <w:t>乙醇的</w:t>
            </w:r>
            <w:r>
              <w:rPr>
                <w:sz w:val="19"/>
                <w:lang w:val="en-US"/>
              </w:rPr>
              <w:t xml:space="preserve"> 1XPBS</w:t>
            </w:r>
            <w:r>
              <w:rPr>
                <w:rFonts w:hint="eastAsia"/>
                <w:sz w:val="19"/>
                <w:lang w:val="en-US"/>
              </w:rPr>
              <w:t>，</w:t>
            </w:r>
            <w:r>
              <w:rPr>
                <w:sz w:val="19"/>
              </w:rPr>
              <w:t>2–8°C</w:t>
            </w:r>
            <w:r>
              <w:rPr>
                <w:sz w:val="19"/>
              </w:rPr>
              <w:t>，禁止冷冻或干燥；始终保持磁珠浸没</w:t>
            </w:r>
          </w:p>
        </w:tc>
      </w:tr>
      <w:tr w:rsidR="00010EF1" w14:paraId="70996C96" w14:textId="77777777">
        <w:trPr>
          <w:cantSplit/>
        </w:trPr>
        <w:tc>
          <w:tcPr>
            <w:tcW w:w="17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5FE1CA" w14:textId="77777777" w:rsidR="00010EF1" w:rsidRDefault="00000000">
            <w:pPr>
              <w:spacing w:after="0"/>
            </w:pPr>
            <w:r>
              <w:rPr>
                <w:b/>
                <w:color w:val="7A271A"/>
                <w:sz w:val="19"/>
              </w:rPr>
              <w:t>规格</w:t>
            </w:r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65C73F" w14:textId="77777777" w:rsidR="00010EF1" w:rsidRDefault="00000000">
            <w:pPr>
              <w:spacing w:after="0"/>
            </w:pPr>
            <w:r>
              <w:rPr>
                <w:sz w:val="19"/>
              </w:rPr>
              <w:t>以销售目录及产品标签为准（可提供多种体积规格）</w:t>
            </w:r>
          </w:p>
        </w:tc>
      </w:tr>
    </w:tbl>
    <w:p w14:paraId="48E7B93E" w14:textId="77777777" w:rsidR="00010EF1" w:rsidRDefault="00000000">
      <w:pPr>
        <w:pStyle w:val="21"/>
        <w:keepNext w:val="0"/>
      </w:pPr>
      <w:r>
        <w:t>包装规格</w:t>
      </w:r>
    </w:p>
    <w:tbl>
      <w:tblPr>
        <w:tblW w:w="6300" w:type="dxa"/>
        <w:tblInd w:w="120" w:type="dxa"/>
        <w:tblBorders>
          <w:top w:val="single" w:sz="4" w:space="0" w:color="AAB4BE"/>
          <w:left w:val="single" w:sz="4" w:space="0" w:color="AAB4BE"/>
          <w:bottom w:val="single" w:sz="4" w:space="0" w:color="AAB4BE"/>
          <w:right w:val="single" w:sz="4" w:space="0" w:color="AAB4BE"/>
          <w:insideH w:val="single" w:sz="4" w:space="0" w:color="AAB4BE"/>
          <w:insideV w:val="single" w:sz="4" w:space="0" w:color="AAB4BE"/>
        </w:tblBorders>
        <w:tblLayout w:type="fixed"/>
        <w:tblLook w:val="04A0" w:firstRow="1" w:lastRow="0" w:firstColumn="1" w:lastColumn="0" w:noHBand="0" w:noVBand="1"/>
      </w:tblPr>
      <w:tblGrid>
        <w:gridCol w:w="3800"/>
        <w:gridCol w:w="2500"/>
      </w:tblGrid>
      <w:tr w:rsidR="00010EF1" w14:paraId="148DEDDD" w14:textId="77777777">
        <w:trPr>
          <w:cantSplit/>
          <w:tblHeader/>
        </w:trPr>
        <w:tc>
          <w:tcPr>
            <w:tcW w:w="3800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BA5803" w14:textId="77777777" w:rsidR="00010EF1" w:rsidRDefault="00000000">
            <w:pPr>
              <w:keepLines/>
              <w:spacing w:after="0" w:line="269" w:lineRule="auto"/>
              <w:rPr>
                <w:rFonts w:ascii="Times New Roman" w:hAnsi="Times New Roman" w:cs="Times New Roman"/>
                <w:b/>
                <w:color w:val="20242B"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20242B"/>
                <w:sz w:val="19"/>
              </w:rPr>
              <w:t>货号</w:t>
            </w:r>
          </w:p>
        </w:tc>
        <w:tc>
          <w:tcPr>
            <w:tcW w:w="2500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CF58CA" w14:textId="77777777" w:rsidR="00010EF1" w:rsidRDefault="00000000">
            <w:pPr>
              <w:keepLines/>
              <w:spacing w:after="0" w:line="269" w:lineRule="auto"/>
              <w:rPr>
                <w:rFonts w:ascii="Times New Roman" w:hAnsi="Times New Roman" w:cs="Times New Roman"/>
                <w:b/>
                <w:color w:val="20242B"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20242B"/>
                <w:sz w:val="19"/>
              </w:rPr>
              <w:t>规格（</w:t>
            </w:r>
            <w:r>
              <w:rPr>
                <w:rFonts w:ascii="Times New Roman" w:hAnsi="Times New Roman" w:cs="Times New Roman"/>
                <w:b/>
                <w:color w:val="20242B"/>
                <w:sz w:val="19"/>
                <w:lang w:val="en-US"/>
              </w:rPr>
              <w:t>40</w:t>
            </w:r>
            <w:r>
              <w:rPr>
                <w:rFonts w:ascii="Times New Roman" w:hAnsi="Times New Roman" w:cs="Times New Roman"/>
                <w:b/>
                <w:color w:val="20242B"/>
                <w:sz w:val="19"/>
              </w:rPr>
              <w:t>% slurry</w:t>
            </w:r>
            <w:r>
              <w:rPr>
                <w:rFonts w:ascii="Times New Roman" w:hAnsi="Times New Roman" w:cs="Times New Roman"/>
                <w:b/>
                <w:color w:val="20242B"/>
                <w:sz w:val="19"/>
              </w:rPr>
              <w:t>）</w:t>
            </w:r>
          </w:p>
        </w:tc>
      </w:tr>
      <w:tr w:rsidR="00010EF1" w14:paraId="728647C9" w14:textId="77777777">
        <w:trPr>
          <w:cantSplit/>
        </w:trPr>
        <w:tc>
          <w:tcPr>
            <w:tcW w:w="3800" w:type="dxa"/>
          </w:tcPr>
          <w:p w14:paraId="23EAFEC5" w14:textId="77777777" w:rsidR="00010EF1" w:rsidRDefault="00000000">
            <w:pPr>
              <w:keepLines/>
              <w:spacing w:after="0" w:line="269" w:lineRule="auto"/>
              <w:rPr>
                <w:rFonts w:ascii="Times New Roman" w:hAnsi="Times New Roman" w:cs="Times New Roman"/>
                <w:b/>
                <w:color w:val="20242B"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20242B"/>
                <w:sz w:val="19"/>
              </w:rPr>
              <w:t>HXL-</w:t>
            </w:r>
            <w:r>
              <w:rPr>
                <w:rFonts w:ascii="Times New Roman" w:hAnsi="Times New Roman" w:cs="Times New Roman"/>
                <w:b/>
                <w:color w:val="20242B"/>
                <w:sz w:val="19"/>
                <w:lang w:val="en-US"/>
              </w:rPr>
              <w:t>NTA</w:t>
            </w:r>
            <w:r>
              <w:rPr>
                <w:rFonts w:ascii="Times New Roman" w:hAnsi="Times New Roman" w:cs="Times New Roman"/>
                <w:b/>
                <w:color w:val="20242B"/>
                <w:sz w:val="19"/>
              </w:rPr>
              <w:t>-mag-agro-1</w:t>
            </w:r>
          </w:p>
        </w:tc>
        <w:tc>
          <w:tcPr>
            <w:tcW w:w="2500" w:type="dxa"/>
          </w:tcPr>
          <w:p w14:paraId="093C89FC" w14:textId="77777777" w:rsidR="00010EF1" w:rsidRDefault="00000000">
            <w:pPr>
              <w:keepLines/>
              <w:spacing w:after="0" w:line="269" w:lineRule="auto"/>
              <w:rPr>
                <w:rFonts w:ascii="Times New Roman" w:hAnsi="Times New Roman" w:cs="Times New Roman"/>
                <w:b/>
                <w:color w:val="20242B"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20242B"/>
                <w:sz w:val="19"/>
              </w:rPr>
              <w:t>1 mL</w:t>
            </w:r>
          </w:p>
        </w:tc>
      </w:tr>
      <w:tr w:rsidR="00010EF1" w14:paraId="3873276C" w14:textId="77777777">
        <w:trPr>
          <w:cantSplit/>
          <w:trHeight w:val="340"/>
        </w:trPr>
        <w:tc>
          <w:tcPr>
            <w:tcW w:w="3800" w:type="dxa"/>
            <w:shd w:val="clear" w:color="auto" w:fill="F7F9FB"/>
          </w:tcPr>
          <w:p w14:paraId="247CCF8D" w14:textId="77777777" w:rsidR="00010EF1" w:rsidRDefault="00000000">
            <w:pPr>
              <w:keepLines/>
              <w:spacing w:after="0" w:line="269" w:lineRule="auto"/>
              <w:rPr>
                <w:rFonts w:ascii="Times New Roman" w:hAnsi="Times New Roman" w:cs="Times New Roman"/>
                <w:b/>
                <w:color w:val="20242B"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20242B"/>
                <w:sz w:val="19"/>
              </w:rPr>
              <w:t>HXL-</w:t>
            </w:r>
            <w:r>
              <w:rPr>
                <w:rFonts w:ascii="Times New Roman" w:hAnsi="Times New Roman" w:cs="Times New Roman"/>
                <w:b/>
                <w:color w:val="20242B"/>
                <w:sz w:val="19"/>
                <w:lang w:val="en-US"/>
              </w:rPr>
              <w:t>NTA</w:t>
            </w:r>
            <w:r>
              <w:rPr>
                <w:rFonts w:ascii="Times New Roman" w:hAnsi="Times New Roman" w:cs="Times New Roman"/>
                <w:b/>
                <w:color w:val="20242B"/>
                <w:sz w:val="19"/>
              </w:rPr>
              <w:t>-mag-agro-4</w:t>
            </w:r>
          </w:p>
        </w:tc>
        <w:tc>
          <w:tcPr>
            <w:tcW w:w="2500" w:type="dxa"/>
            <w:shd w:val="clear" w:color="auto" w:fill="F7F9FB"/>
          </w:tcPr>
          <w:p w14:paraId="63330C7E" w14:textId="77777777" w:rsidR="00010EF1" w:rsidRDefault="00000000">
            <w:pPr>
              <w:keepLines/>
              <w:spacing w:after="0" w:line="269" w:lineRule="auto"/>
              <w:rPr>
                <w:rFonts w:ascii="Times New Roman" w:hAnsi="Times New Roman" w:cs="Times New Roman"/>
                <w:b/>
                <w:color w:val="20242B"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20242B"/>
                <w:sz w:val="19"/>
              </w:rPr>
              <w:t>4 mL</w:t>
            </w:r>
          </w:p>
        </w:tc>
      </w:tr>
      <w:tr w:rsidR="00010EF1" w14:paraId="652C7473" w14:textId="77777777">
        <w:trPr>
          <w:cantSplit/>
        </w:trPr>
        <w:tc>
          <w:tcPr>
            <w:tcW w:w="3800" w:type="dxa"/>
          </w:tcPr>
          <w:p w14:paraId="34BC386C" w14:textId="77777777" w:rsidR="00010EF1" w:rsidRDefault="00000000">
            <w:pPr>
              <w:keepLines/>
              <w:spacing w:after="0" w:line="269" w:lineRule="auto"/>
              <w:rPr>
                <w:rFonts w:ascii="Times New Roman" w:hAnsi="Times New Roman" w:cs="Times New Roman"/>
                <w:b/>
                <w:color w:val="20242B"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20242B"/>
                <w:sz w:val="19"/>
              </w:rPr>
              <w:t>HXL-</w:t>
            </w:r>
            <w:r>
              <w:rPr>
                <w:rFonts w:ascii="Times New Roman" w:hAnsi="Times New Roman" w:cs="Times New Roman"/>
                <w:b/>
                <w:color w:val="20242B"/>
                <w:sz w:val="19"/>
                <w:lang w:val="en-US"/>
              </w:rPr>
              <w:t>NTA</w:t>
            </w:r>
            <w:r>
              <w:rPr>
                <w:rFonts w:ascii="Times New Roman" w:hAnsi="Times New Roman" w:cs="Times New Roman"/>
                <w:b/>
                <w:color w:val="20242B"/>
                <w:sz w:val="19"/>
              </w:rPr>
              <w:t>-mag-agro-20</w:t>
            </w:r>
          </w:p>
        </w:tc>
        <w:tc>
          <w:tcPr>
            <w:tcW w:w="2500" w:type="dxa"/>
          </w:tcPr>
          <w:p w14:paraId="33CD4713" w14:textId="77777777" w:rsidR="00010EF1" w:rsidRDefault="00000000">
            <w:pPr>
              <w:keepLines/>
              <w:spacing w:after="0" w:line="269" w:lineRule="auto"/>
              <w:rPr>
                <w:rFonts w:ascii="Times New Roman" w:hAnsi="Times New Roman" w:cs="Times New Roman"/>
                <w:b/>
                <w:color w:val="20242B"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20242B"/>
                <w:sz w:val="19"/>
              </w:rPr>
              <w:t>20 mL</w:t>
            </w:r>
          </w:p>
        </w:tc>
      </w:tr>
    </w:tbl>
    <w:p w14:paraId="757C43BB" w14:textId="77777777" w:rsidR="00010EF1" w:rsidRDefault="00010EF1">
      <w:pPr>
        <w:pStyle w:val="1"/>
        <w:tabs>
          <w:tab w:val="left" w:pos="7666"/>
        </w:tabs>
        <w:spacing w:before="0" w:after="0"/>
        <w:rPr>
          <w:rFonts w:ascii="Calibri" w:eastAsia="微软雅黑" w:hAnsi="Calibri"/>
        </w:rPr>
      </w:pPr>
    </w:p>
    <w:p w14:paraId="3B3F429D" w14:textId="77777777" w:rsidR="00010EF1" w:rsidRDefault="00000000">
      <w:pPr>
        <w:pStyle w:val="1"/>
        <w:keepNext w:val="0"/>
        <w:numPr>
          <w:ilvl w:val="0"/>
          <w:numId w:val="7"/>
        </w:numPr>
        <w:rPr>
          <w:rFonts w:ascii="Calibri" w:eastAsia="微软雅黑" w:hAnsi="Calibri"/>
        </w:rPr>
      </w:pPr>
      <w:r>
        <w:rPr>
          <w:rFonts w:ascii="Calibri" w:eastAsia="微软雅黑" w:hAnsi="Calibri"/>
        </w:rPr>
        <w:t>推荐缓冲液</w:t>
      </w:r>
    </w:p>
    <w:p w14:paraId="04EB473F" w14:textId="77777777" w:rsidR="00010EF1" w:rsidRDefault="00000000">
      <w:pPr>
        <w:pStyle w:val="1"/>
      </w:pPr>
      <w:r>
        <w:rPr>
          <w:rFonts w:ascii="Calibri" w:eastAsia="微软雅黑" w:hAnsi="Calibri" w:hint="eastAsia"/>
          <w:sz w:val="26"/>
          <w:lang w:val="en-US"/>
        </w:rPr>
        <w:t>3</w:t>
      </w:r>
      <w:r>
        <w:rPr>
          <w:rFonts w:ascii="Calibri" w:eastAsia="微软雅黑" w:hAnsi="Calibri"/>
          <w:sz w:val="26"/>
        </w:rPr>
        <w:t xml:space="preserve">.1 </w:t>
      </w:r>
      <w:r>
        <w:rPr>
          <w:rFonts w:ascii="Calibri" w:eastAsia="微软雅黑" w:hAnsi="Calibri"/>
          <w:sz w:val="26"/>
        </w:rPr>
        <w:t>天然条件</w:t>
      </w:r>
    </w:p>
    <w:tbl>
      <w:tblPr>
        <w:tblStyle w:val="af4"/>
        <w:tblW w:w="9360" w:type="dxa"/>
        <w:tblInd w:w="120" w:type="dxa"/>
        <w:tblBorders>
          <w:top w:val="single" w:sz="4" w:space="0" w:color="D0D5DD"/>
          <w:left w:val="single" w:sz="4" w:space="0" w:color="D0D5DD"/>
          <w:bottom w:val="single" w:sz="4" w:space="0" w:color="D0D5DD"/>
          <w:right w:val="single" w:sz="4" w:space="0" w:color="D0D5DD"/>
          <w:insideH w:val="single" w:sz="4" w:space="0" w:color="D0D5DD"/>
          <w:insideV w:val="single" w:sz="4" w:space="0" w:color="D0D5DD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700"/>
        <w:gridCol w:w="1700"/>
        <w:gridCol w:w="2200"/>
        <w:gridCol w:w="1960"/>
      </w:tblGrid>
      <w:tr w:rsidR="00010EF1" w14:paraId="1FC83FA8" w14:textId="77777777">
        <w:trPr>
          <w:tblHeader/>
        </w:trPr>
        <w:tc>
          <w:tcPr>
            <w:tcW w:w="18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8F6EE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8"/>
              </w:rPr>
              <w:t>缓冲液</w:t>
            </w:r>
          </w:p>
        </w:tc>
        <w:tc>
          <w:tcPr>
            <w:tcW w:w="17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C5E765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8"/>
              </w:rPr>
              <w:t>磷酸盐</w:t>
            </w:r>
          </w:p>
        </w:tc>
        <w:tc>
          <w:tcPr>
            <w:tcW w:w="17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4AECD9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8"/>
              </w:rPr>
              <w:t>NaCl</w:t>
            </w:r>
          </w:p>
        </w:tc>
        <w:tc>
          <w:tcPr>
            <w:tcW w:w="22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D34E5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8"/>
              </w:rPr>
              <w:t>咪唑</w:t>
            </w:r>
          </w:p>
        </w:tc>
        <w:tc>
          <w:tcPr>
            <w:tcW w:w="196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931CE4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8"/>
              </w:rPr>
              <w:t>pH</w:t>
            </w:r>
          </w:p>
        </w:tc>
      </w:tr>
      <w:tr w:rsidR="00010EF1" w14:paraId="22F7D7D7" w14:textId="77777777">
        <w:trPr>
          <w:cantSplit/>
        </w:trPr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3EC7ED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结合缓冲液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88BC44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8"/>
              </w:rPr>
              <w:t>50 mM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B6F7F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8"/>
              </w:rPr>
              <w:t>300 mM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E1191A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8"/>
              </w:rPr>
              <w:t>10 mM</w:t>
            </w:r>
          </w:p>
        </w:tc>
        <w:tc>
          <w:tcPr>
            <w:tcW w:w="1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8CDC9A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8"/>
              </w:rPr>
              <w:t>8.0</w:t>
            </w:r>
          </w:p>
        </w:tc>
      </w:tr>
      <w:tr w:rsidR="00010EF1" w14:paraId="24D8ECA4" w14:textId="77777777">
        <w:trPr>
          <w:cantSplit/>
        </w:trPr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20090E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洗涤缓冲液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082F88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8"/>
              </w:rPr>
              <w:t>50 mM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145F41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8"/>
              </w:rPr>
              <w:t>300 mM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971B5A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8"/>
              </w:rPr>
              <w:t>20–40 mM</w:t>
            </w:r>
          </w:p>
        </w:tc>
        <w:tc>
          <w:tcPr>
            <w:tcW w:w="1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012442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8"/>
              </w:rPr>
              <w:t>8.0</w:t>
            </w:r>
          </w:p>
        </w:tc>
      </w:tr>
      <w:tr w:rsidR="00010EF1" w14:paraId="64794FEE" w14:textId="77777777">
        <w:trPr>
          <w:cantSplit/>
        </w:trPr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FB2260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洗脱缓冲液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628BB3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8"/>
              </w:rPr>
              <w:t>50 mM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962F2A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8"/>
              </w:rPr>
              <w:t>300 mM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9C2FA1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8"/>
              </w:rPr>
              <w:t>250–300 mM</w:t>
            </w:r>
          </w:p>
        </w:tc>
        <w:tc>
          <w:tcPr>
            <w:tcW w:w="1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DC175F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8"/>
              </w:rPr>
              <w:t>8.0</w:t>
            </w:r>
          </w:p>
        </w:tc>
      </w:tr>
    </w:tbl>
    <w:p w14:paraId="1CFC550D" w14:textId="77777777" w:rsidR="00010EF1" w:rsidRDefault="00010EF1">
      <w:pPr>
        <w:spacing w:after="60" w:line="48" w:lineRule="auto"/>
      </w:pPr>
    </w:p>
    <w:p w14:paraId="1757834E" w14:textId="77777777" w:rsidR="00010EF1" w:rsidRDefault="00000000">
      <w:r>
        <w:t>可选：在结合和洗涤缓冲液中加入</w:t>
      </w:r>
      <w:r>
        <w:t xml:space="preserve"> 0.05% Tween 20</w:t>
      </w:r>
      <w:r>
        <w:t>，以改善高黏样品分散并降低塑料吸附。若下游对去污剂敏感，可不加或在洗脱后进行缓冲液置换。</w:t>
      </w:r>
    </w:p>
    <w:p w14:paraId="135507ED" w14:textId="77777777" w:rsidR="00010EF1" w:rsidRDefault="00000000">
      <w:pPr>
        <w:pStyle w:val="31"/>
      </w:pPr>
      <w:r>
        <w:rPr>
          <w:rFonts w:ascii="Calibri" w:eastAsia="微软雅黑" w:hAnsi="Calibri"/>
        </w:rPr>
        <w:lastRenderedPageBreak/>
        <w:t xml:space="preserve">100 mL </w:t>
      </w:r>
      <w:r>
        <w:rPr>
          <w:rFonts w:ascii="Calibri" w:eastAsia="微软雅黑" w:hAnsi="Calibri"/>
        </w:rPr>
        <w:t>缓冲液快速配制（使用储备液）</w:t>
      </w:r>
    </w:p>
    <w:tbl>
      <w:tblPr>
        <w:tblStyle w:val="af4"/>
        <w:tblW w:w="9360" w:type="dxa"/>
        <w:tblInd w:w="120" w:type="dxa"/>
        <w:tblBorders>
          <w:top w:val="single" w:sz="4" w:space="0" w:color="D0D5DD"/>
          <w:left w:val="single" w:sz="4" w:space="0" w:color="D0D5DD"/>
          <w:bottom w:val="single" w:sz="4" w:space="0" w:color="D0D5DD"/>
          <w:right w:val="single" w:sz="4" w:space="0" w:color="D0D5DD"/>
          <w:insideH w:val="single" w:sz="4" w:space="0" w:color="D0D5DD"/>
          <w:insideV w:val="single" w:sz="4" w:space="0" w:color="D0D5DD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2120"/>
        <w:gridCol w:w="2120"/>
        <w:gridCol w:w="2120"/>
      </w:tblGrid>
      <w:tr w:rsidR="00010EF1" w14:paraId="7280A431" w14:textId="77777777">
        <w:trPr>
          <w:tblHeader/>
        </w:trPr>
        <w:tc>
          <w:tcPr>
            <w:tcW w:w="30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1DD89A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8"/>
              </w:rPr>
              <w:t>组分</w:t>
            </w:r>
          </w:p>
        </w:tc>
        <w:tc>
          <w:tcPr>
            <w:tcW w:w="212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0B6D0D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8"/>
              </w:rPr>
              <w:t>结合</w:t>
            </w:r>
          </w:p>
        </w:tc>
        <w:tc>
          <w:tcPr>
            <w:tcW w:w="212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637525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8"/>
              </w:rPr>
              <w:t>洗涤</w:t>
            </w:r>
          </w:p>
        </w:tc>
        <w:tc>
          <w:tcPr>
            <w:tcW w:w="212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1FC15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8"/>
              </w:rPr>
              <w:t>洗脱</w:t>
            </w:r>
          </w:p>
        </w:tc>
      </w:tr>
      <w:tr w:rsidR="00010EF1" w14:paraId="5C2B7239" w14:textId="77777777">
        <w:trPr>
          <w:cantSplit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27E196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 xml:space="preserve">1 M </w:t>
            </w:r>
            <w:r>
              <w:rPr>
                <w:sz w:val="18"/>
              </w:rPr>
              <w:t>磷酸盐缓冲液，</w:t>
            </w:r>
            <w:r>
              <w:rPr>
                <w:sz w:val="18"/>
              </w:rPr>
              <w:t>pH 8.0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062603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5.0 mL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ED17DB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5.0 mL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B9136F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5.0 mL</w:t>
            </w:r>
          </w:p>
        </w:tc>
      </w:tr>
      <w:tr w:rsidR="00010EF1" w14:paraId="77302314" w14:textId="77777777">
        <w:trPr>
          <w:cantSplit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C9D9F0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5 M NaCl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A8EE0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6.0 mL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07F42D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6.0 mL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2F4327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6.0 mL</w:t>
            </w:r>
          </w:p>
        </w:tc>
      </w:tr>
      <w:tr w:rsidR="00010EF1" w14:paraId="11BDDEDF" w14:textId="77777777">
        <w:trPr>
          <w:cantSplit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BEB679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 xml:space="preserve">1 M </w:t>
            </w:r>
            <w:r>
              <w:rPr>
                <w:sz w:val="18"/>
              </w:rPr>
              <w:t>咪唑，</w:t>
            </w:r>
            <w:r>
              <w:rPr>
                <w:sz w:val="18"/>
              </w:rPr>
              <w:t>pH 8.0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AEB58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1.0 mL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D348F7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2.0–4.0 mL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A2F5D7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25–30 mL</w:t>
            </w:r>
          </w:p>
        </w:tc>
      </w:tr>
      <w:tr w:rsidR="00010EF1" w14:paraId="25199312" w14:textId="77777777">
        <w:trPr>
          <w:cantSplit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1BD978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10% Tween 20</w:t>
            </w:r>
            <w:r>
              <w:rPr>
                <w:sz w:val="18"/>
              </w:rPr>
              <w:t>（可选）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729CE0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0.5 mL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F8ED68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0.5 mL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B872D2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不加</w:t>
            </w:r>
          </w:p>
        </w:tc>
      </w:tr>
      <w:tr w:rsidR="00010EF1" w14:paraId="60DE22D3" w14:textId="77777777">
        <w:trPr>
          <w:cantSplit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BD687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超纯水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D1F3B3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补足至</w:t>
            </w:r>
            <w:r>
              <w:rPr>
                <w:sz w:val="18"/>
              </w:rPr>
              <w:t xml:space="preserve"> 100 mL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F0121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补足至</w:t>
            </w:r>
            <w:r>
              <w:rPr>
                <w:sz w:val="18"/>
              </w:rPr>
              <w:t xml:space="preserve"> 100 mL</w:t>
            </w:r>
          </w:p>
        </w:tc>
        <w:tc>
          <w:tcPr>
            <w:tcW w:w="2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5B266E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补足至</w:t>
            </w:r>
            <w:r>
              <w:rPr>
                <w:sz w:val="18"/>
              </w:rPr>
              <w:t xml:space="preserve"> 100 mL</w:t>
            </w:r>
          </w:p>
        </w:tc>
      </w:tr>
    </w:tbl>
    <w:p w14:paraId="44EAE2D3" w14:textId="77777777" w:rsidR="00010EF1" w:rsidRDefault="00010EF1">
      <w:pPr>
        <w:spacing w:after="60" w:line="48" w:lineRule="auto"/>
      </w:pPr>
    </w:p>
    <w:tbl>
      <w:tblPr>
        <w:tblStyle w:val="af4"/>
        <w:tblW w:w="9360" w:type="dxa"/>
        <w:tblInd w:w="120" w:type="dxa"/>
        <w:tblBorders>
          <w:top w:val="single" w:sz="4" w:space="0" w:color="D0D5DD"/>
          <w:left w:val="single" w:sz="4" w:space="0" w:color="D0D5DD"/>
          <w:bottom w:val="single" w:sz="4" w:space="0" w:color="D0D5DD"/>
          <w:right w:val="single" w:sz="4" w:space="0" w:color="D0D5DD"/>
          <w:insideH w:val="single" w:sz="4" w:space="0" w:color="D0D5DD"/>
          <w:insideV w:val="single" w:sz="4" w:space="0" w:color="D0D5DD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010EF1" w14:paraId="399303F8" w14:textId="77777777">
        <w:tc>
          <w:tcPr>
            <w:tcW w:w="93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0CA142" w14:textId="77777777" w:rsidR="00010EF1" w:rsidRDefault="00000000">
            <w:pPr>
              <w:spacing w:after="0" w:line="283" w:lineRule="auto"/>
            </w:pPr>
            <w:r>
              <w:rPr>
                <w:b/>
                <w:color w:val="7A271A"/>
                <w:sz w:val="20"/>
              </w:rPr>
              <w:t>配液注意</w:t>
            </w:r>
            <w:r>
              <w:rPr>
                <w:b/>
                <w:color w:val="7A271A"/>
                <w:sz w:val="20"/>
              </w:rPr>
              <w:t xml:space="preserve">  </w:t>
            </w:r>
            <w:r>
              <w:rPr>
                <w:sz w:val="20"/>
              </w:rPr>
              <w:t>咪唑会影响最终</w:t>
            </w:r>
            <w:r>
              <w:rPr>
                <w:sz w:val="20"/>
              </w:rPr>
              <w:t xml:space="preserve"> pH</w:t>
            </w:r>
            <w:r>
              <w:rPr>
                <w:sz w:val="20"/>
              </w:rPr>
              <w:t>。所有组分加入后，在实际使用温度下将</w:t>
            </w:r>
            <w:r>
              <w:rPr>
                <w:sz w:val="20"/>
              </w:rPr>
              <w:t xml:space="preserve"> pH </w:t>
            </w:r>
            <w:r>
              <w:rPr>
                <w:sz w:val="20"/>
              </w:rPr>
              <w:t>调至</w:t>
            </w:r>
            <w:r>
              <w:rPr>
                <w:sz w:val="20"/>
              </w:rPr>
              <w:t xml:space="preserve"> 8.0</w:t>
            </w:r>
            <w:r>
              <w:rPr>
                <w:sz w:val="20"/>
              </w:rPr>
              <w:t>；若缓冲液出现浑浊、微生物污染或沉淀，应弃用。</w:t>
            </w:r>
          </w:p>
        </w:tc>
      </w:tr>
    </w:tbl>
    <w:p w14:paraId="580C1444" w14:textId="77777777" w:rsidR="00010EF1" w:rsidRDefault="00000000">
      <w:pPr>
        <w:pStyle w:val="21"/>
      </w:pPr>
      <w:r>
        <w:rPr>
          <w:rFonts w:ascii="Calibri" w:eastAsia="微软雅黑" w:hAnsi="Calibri" w:hint="eastAsia"/>
          <w:lang w:val="en-US"/>
        </w:rPr>
        <w:t>3</w:t>
      </w:r>
      <w:r>
        <w:rPr>
          <w:rFonts w:ascii="Calibri" w:eastAsia="微软雅黑" w:hAnsi="Calibri"/>
        </w:rPr>
        <w:t xml:space="preserve">.2 </w:t>
      </w:r>
      <w:r>
        <w:rPr>
          <w:rFonts w:ascii="Calibri" w:eastAsia="微软雅黑" w:hAnsi="Calibri"/>
        </w:rPr>
        <w:t>变性条件</w:t>
      </w:r>
    </w:p>
    <w:tbl>
      <w:tblPr>
        <w:tblStyle w:val="af4"/>
        <w:tblW w:w="9360" w:type="dxa"/>
        <w:tblInd w:w="120" w:type="dxa"/>
        <w:tblBorders>
          <w:top w:val="single" w:sz="4" w:space="0" w:color="D0D5DD"/>
          <w:left w:val="single" w:sz="4" w:space="0" w:color="D0D5DD"/>
          <w:bottom w:val="single" w:sz="4" w:space="0" w:color="D0D5DD"/>
          <w:right w:val="single" w:sz="4" w:space="0" w:color="D0D5DD"/>
          <w:insideH w:val="single" w:sz="4" w:space="0" w:color="D0D5DD"/>
          <w:insideV w:val="single" w:sz="4" w:space="0" w:color="D0D5DD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1300"/>
        <w:gridCol w:w="1600"/>
        <w:gridCol w:w="1600"/>
        <w:gridCol w:w="1760"/>
        <w:gridCol w:w="1550"/>
      </w:tblGrid>
      <w:tr w:rsidR="00010EF1" w14:paraId="0F2D7547" w14:textId="77777777">
        <w:trPr>
          <w:tblHeader/>
        </w:trPr>
        <w:tc>
          <w:tcPr>
            <w:tcW w:w="155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725702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7"/>
              </w:rPr>
              <w:t>缓冲液</w:t>
            </w:r>
          </w:p>
        </w:tc>
        <w:tc>
          <w:tcPr>
            <w:tcW w:w="13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80CD8E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7"/>
              </w:rPr>
              <w:t>尿素</w:t>
            </w:r>
          </w:p>
        </w:tc>
        <w:tc>
          <w:tcPr>
            <w:tcW w:w="16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5A94A9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7"/>
              </w:rPr>
              <w:t>磷酸盐</w:t>
            </w:r>
          </w:p>
        </w:tc>
        <w:tc>
          <w:tcPr>
            <w:tcW w:w="16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05C33A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7"/>
              </w:rPr>
              <w:t>Tris-HCl</w:t>
            </w:r>
          </w:p>
        </w:tc>
        <w:tc>
          <w:tcPr>
            <w:tcW w:w="176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F6BE1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7"/>
              </w:rPr>
              <w:t>咪唑</w:t>
            </w:r>
          </w:p>
        </w:tc>
        <w:tc>
          <w:tcPr>
            <w:tcW w:w="155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7A481E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7"/>
              </w:rPr>
              <w:t>pH</w:t>
            </w:r>
          </w:p>
        </w:tc>
      </w:tr>
      <w:tr w:rsidR="00010EF1" w14:paraId="6A87B6AC" w14:textId="77777777">
        <w:trPr>
          <w:cantSplit/>
        </w:trPr>
        <w:tc>
          <w:tcPr>
            <w:tcW w:w="1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F8D81E" w14:textId="77777777" w:rsidR="00010EF1" w:rsidRDefault="00000000">
            <w:pPr>
              <w:spacing w:after="30" w:line="259" w:lineRule="auto"/>
            </w:pPr>
            <w:r>
              <w:rPr>
                <w:sz w:val="17"/>
              </w:rPr>
              <w:t>变性结合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7E100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8 M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CF7845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100 mM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45BC8C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10 mM</w:t>
            </w:r>
          </w:p>
        </w:tc>
        <w:tc>
          <w:tcPr>
            <w:tcW w:w="1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5EF34C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10 mM</w:t>
            </w:r>
          </w:p>
        </w:tc>
        <w:tc>
          <w:tcPr>
            <w:tcW w:w="1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A85313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8.0</w:t>
            </w:r>
          </w:p>
        </w:tc>
      </w:tr>
      <w:tr w:rsidR="00010EF1" w14:paraId="1E3F635A" w14:textId="77777777">
        <w:trPr>
          <w:cantSplit/>
        </w:trPr>
        <w:tc>
          <w:tcPr>
            <w:tcW w:w="1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77DC38" w14:textId="77777777" w:rsidR="00010EF1" w:rsidRDefault="00000000">
            <w:pPr>
              <w:spacing w:after="30" w:line="259" w:lineRule="auto"/>
            </w:pPr>
            <w:r>
              <w:rPr>
                <w:sz w:val="17"/>
              </w:rPr>
              <w:t>变性洗涤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483439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8 M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84D7D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100 mM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91AC00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10 mM</w:t>
            </w:r>
          </w:p>
        </w:tc>
        <w:tc>
          <w:tcPr>
            <w:tcW w:w="1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802B95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20–40 mM</w:t>
            </w:r>
          </w:p>
        </w:tc>
        <w:tc>
          <w:tcPr>
            <w:tcW w:w="1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14B3B7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8.0</w:t>
            </w:r>
          </w:p>
        </w:tc>
      </w:tr>
      <w:tr w:rsidR="00010EF1" w14:paraId="50B4D971" w14:textId="77777777">
        <w:trPr>
          <w:cantSplit/>
        </w:trPr>
        <w:tc>
          <w:tcPr>
            <w:tcW w:w="1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D32E85" w14:textId="77777777" w:rsidR="00010EF1" w:rsidRDefault="00000000">
            <w:pPr>
              <w:spacing w:after="30" w:line="259" w:lineRule="auto"/>
            </w:pPr>
            <w:r>
              <w:rPr>
                <w:sz w:val="17"/>
              </w:rPr>
              <w:t>变性洗脱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AC47FC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8 M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5253B5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100 mM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621ECB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10 mM</w:t>
            </w:r>
          </w:p>
        </w:tc>
        <w:tc>
          <w:tcPr>
            <w:tcW w:w="1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443BFE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250 mM</w:t>
            </w:r>
          </w:p>
        </w:tc>
        <w:tc>
          <w:tcPr>
            <w:tcW w:w="1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E6EFE" w14:textId="77777777" w:rsidR="00010EF1" w:rsidRDefault="00000000">
            <w:pPr>
              <w:spacing w:after="30" w:line="259" w:lineRule="auto"/>
              <w:jc w:val="center"/>
            </w:pPr>
            <w:r>
              <w:rPr>
                <w:sz w:val="17"/>
              </w:rPr>
              <w:t>8.0</w:t>
            </w:r>
          </w:p>
        </w:tc>
      </w:tr>
    </w:tbl>
    <w:p w14:paraId="4506B5B8" w14:textId="77777777" w:rsidR="00010EF1" w:rsidRDefault="00010EF1">
      <w:pPr>
        <w:spacing w:after="60" w:line="48" w:lineRule="auto"/>
      </w:pPr>
    </w:p>
    <w:p w14:paraId="2D761C60" w14:textId="77777777" w:rsidR="00010EF1" w:rsidRDefault="00000000">
      <w:r>
        <w:t>可用</w:t>
      </w:r>
      <w:r>
        <w:t xml:space="preserve"> 6 M </w:t>
      </w:r>
      <w:r>
        <w:t>盐酸胍替代</w:t>
      </w:r>
      <w:r>
        <w:t xml:space="preserve"> 8 M </w:t>
      </w:r>
      <w:r>
        <w:t>尿素，但同一流程中不要随意切换变性剂。为防止目标蛋白重新聚集，变性剂应贯穿结合、洗涤和洗脱。尿素溶液建议新鲜配制，避免长时间高温放置。</w:t>
      </w:r>
    </w:p>
    <w:p w14:paraId="272B621F" w14:textId="77777777" w:rsidR="00010EF1" w:rsidRDefault="00000000">
      <w:r>
        <w:rPr>
          <w:rFonts w:hint="eastAsia"/>
          <w:b/>
          <w:color w:val="B42318"/>
          <w:sz w:val="32"/>
          <w:lang w:val="en-US"/>
        </w:rPr>
        <w:t>4</w:t>
      </w:r>
      <w:r>
        <w:rPr>
          <w:b/>
          <w:color w:val="B42318"/>
          <w:sz w:val="32"/>
        </w:rPr>
        <w:t xml:space="preserve">. </w:t>
      </w:r>
      <w:r>
        <w:rPr>
          <w:b/>
          <w:color w:val="B42318"/>
          <w:sz w:val="32"/>
        </w:rPr>
        <w:t>操作前准备</w:t>
      </w:r>
    </w:p>
    <w:p w14:paraId="46601188" w14:textId="77777777" w:rsidR="00010EF1" w:rsidRDefault="00000000">
      <w:pPr>
        <w:pStyle w:val="a"/>
        <w:numPr>
          <w:ilvl w:val="0"/>
          <w:numId w:val="8"/>
        </w:numPr>
      </w:pPr>
      <w:r>
        <w:t>在</w:t>
      </w:r>
      <w:r>
        <w:t xml:space="preserve"> 2–8°C </w:t>
      </w:r>
      <w:r>
        <w:t>或冰上完成裂解，并使用不含</w:t>
      </w:r>
      <w:r>
        <w:t xml:space="preserve"> EDTA/EGTA </w:t>
      </w:r>
      <w:r>
        <w:t>的蛋白酶抑制剂。</w:t>
      </w:r>
    </w:p>
    <w:p w14:paraId="6E8D792D" w14:textId="77777777" w:rsidR="00010EF1" w:rsidRDefault="00000000">
      <w:pPr>
        <w:pStyle w:val="a"/>
        <w:numPr>
          <w:ilvl w:val="0"/>
          <w:numId w:val="8"/>
        </w:numPr>
      </w:pPr>
      <w:r>
        <w:t>若样品黏稠，加入</w:t>
      </w:r>
      <w:r>
        <w:t xml:space="preserve"> DNase I </w:t>
      </w:r>
      <w:r>
        <w:t>或</w:t>
      </w:r>
      <w:r>
        <w:t xml:space="preserve"> Benzonase </w:t>
      </w:r>
      <w:r>
        <w:t>并按其说明书处理；黏度过高会显著拖慢</w:t>
      </w:r>
      <w:r>
        <w:t xml:space="preserve"> 1–5 μm </w:t>
      </w:r>
      <w:r>
        <w:t>磁珠的磁性分离。</w:t>
      </w:r>
    </w:p>
    <w:p w14:paraId="446EAD55" w14:textId="77777777" w:rsidR="00010EF1" w:rsidRDefault="00000000">
      <w:pPr>
        <w:pStyle w:val="a"/>
        <w:numPr>
          <w:ilvl w:val="0"/>
          <w:numId w:val="8"/>
        </w:numPr>
      </w:pPr>
      <w:r>
        <w:t>12,000–20,000 × g</w:t>
      </w:r>
      <w:r>
        <w:t>、</w:t>
      </w:r>
      <w:r>
        <w:t xml:space="preserve">4°C </w:t>
      </w:r>
      <w:r>
        <w:t>离心</w:t>
      </w:r>
      <w:r>
        <w:t xml:space="preserve"> 15–30 min</w:t>
      </w:r>
      <w:r>
        <w:t>，取上清。高通量工艺可评估直接处理粗裂解液，但必须验证纯度、回收率和磁吸时间。</w:t>
      </w:r>
    </w:p>
    <w:p w14:paraId="64FC64A0" w14:textId="77777777" w:rsidR="00010EF1" w:rsidRDefault="00000000">
      <w:pPr>
        <w:pStyle w:val="a"/>
        <w:numPr>
          <w:ilvl w:val="0"/>
          <w:numId w:val="8"/>
        </w:numPr>
      </w:pPr>
      <w:r>
        <w:t>将样品</w:t>
      </w:r>
      <w:r>
        <w:t xml:space="preserve"> pH </w:t>
      </w:r>
      <w:r>
        <w:t>调至</w:t>
      </w:r>
      <w:r>
        <w:t xml:space="preserve"> 7.5–8.0</w:t>
      </w:r>
      <w:r>
        <w:t>，并使</w:t>
      </w:r>
      <w:r>
        <w:t xml:space="preserve"> NaCl </w:t>
      </w:r>
      <w:r>
        <w:t>达</w:t>
      </w:r>
      <w:r>
        <w:t xml:space="preserve"> 300 mM </w:t>
      </w:r>
      <w:r>
        <w:t>左右；先保留少量上样样本作为</w:t>
      </w:r>
      <w:r>
        <w:t xml:space="preserve"> Input</w:t>
      </w:r>
      <w:r>
        <w:t>。</w:t>
      </w:r>
    </w:p>
    <w:p w14:paraId="41AD4AA8" w14:textId="77777777" w:rsidR="00010EF1" w:rsidRDefault="00010EF1">
      <w:pPr>
        <w:pStyle w:val="a"/>
        <w:numPr>
          <w:ilvl w:val="0"/>
          <w:numId w:val="0"/>
        </w:numPr>
        <w:rPr>
          <w:b/>
          <w:color w:val="B42318"/>
          <w:sz w:val="32"/>
          <w:lang w:val="en-US"/>
        </w:rPr>
      </w:pPr>
    </w:p>
    <w:p w14:paraId="3015E487" w14:textId="77777777" w:rsidR="00010EF1" w:rsidRDefault="00000000">
      <w:pPr>
        <w:pStyle w:val="a"/>
        <w:numPr>
          <w:ilvl w:val="0"/>
          <w:numId w:val="0"/>
        </w:numPr>
      </w:pPr>
      <w:r>
        <w:rPr>
          <w:rFonts w:hint="eastAsia"/>
          <w:b/>
          <w:color w:val="B42318"/>
          <w:sz w:val="32"/>
          <w:lang w:val="en-US"/>
        </w:rPr>
        <w:lastRenderedPageBreak/>
        <w:t>5</w:t>
      </w:r>
      <w:r>
        <w:rPr>
          <w:rFonts w:hint="eastAsia"/>
          <w:b/>
          <w:color w:val="B42318"/>
          <w:sz w:val="32"/>
        </w:rPr>
        <w:t xml:space="preserve">. </w:t>
      </w:r>
      <w:r>
        <w:rPr>
          <w:b/>
          <w:color w:val="B42318"/>
          <w:sz w:val="32"/>
        </w:rPr>
        <w:t>天然条件标准操作流程</w:t>
      </w:r>
    </w:p>
    <w:p w14:paraId="52ECCC2F" w14:textId="77777777" w:rsidR="00010EF1" w:rsidRDefault="00000000">
      <w:pPr>
        <w:pStyle w:val="a"/>
        <w:numPr>
          <w:ilvl w:val="0"/>
          <w:numId w:val="9"/>
        </w:numPr>
      </w:pPr>
      <w:r>
        <w:rPr>
          <w:b/>
          <w:color w:val="7A271A"/>
        </w:rPr>
        <w:t>重悬：</w:t>
      </w:r>
      <w:r>
        <w:t>将磁珠瓶恢复至</w:t>
      </w:r>
      <w:r>
        <w:t xml:space="preserve"> 15–25°C </w:t>
      </w:r>
      <w:r>
        <w:t>约</w:t>
      </w:r>
      <w:r>
        <w:t xml:space="preserve"> 5–10 min</w:t>
      </w:r>
      <w:r>
        <w:t>，轻柔颠倒混匀；必要时短暂低速涡旋</w:t>
      </w:r>
      <w:r>
        <w:t xml:space="preserve"> 3–5 s</w:t>
      </w:r>
      <w:r>
        <w:t>。确保取样时颗粒分布均匀。</w:t>
      </w:r>
    </w:p>
    <w:p w14:paraId="6162094E" w14:textId="77777777" w:rsidR="00010EF1" w:rsidRDefault="00000000">
      <w:pPr>
        <w:pStyle w:val="a"/>
        <w:numPr>
          <w:ilvl w:val="0"/>
          <w:numId w:val="9"/>
        </w:numPr>
      </w:pPr>
      <w:r>
        <w:rPr>
          <w:b/>
          <w:color w:val="7A271A"/>
        </w:rPr>
        <w:t>取珠：</w:t>
      </w:r>
      <w:r>
        <w:t>取</w:t>
      </w:r>
      <w:r>
        <w:t xml:space="preserve"> </w:t>
      </w:r>
      <w:r>
        <w:rPr>
          <w:rFonts w:hint="eastAsia"/>
          <w:lang w:val="en-US"/>
        </w:rPr>
        <w:t>160</w:t>
      </w:r>
      <w:r>
        <w:t xml:space="preserve"> μL slurry </w:t>
      </w:r>
      <w:r>
        <w:t>至低吸附离心管。置于磁力架直至上清澄清，沿远离磁珠一侧吸弃保存液。</w:t>
      </w:r>
    </w:p>
    <w:p w14:paraId="090BD433" w14:textId="77777777" w:rsidR="00010EF1" w:rsidRDefault="00000000">
      <w:pPr>
        <w:pStyle w:val="a"/>
        <w:numPr>
          <w:ilvl w:val="0"/>
          <w:numId w:val="9"/>
        </w:numPr>
      </w:pPr>
      <w:r>
        <w:rPr>
          <w:b/>
          <w:color w:val="7A271A"/>
        </w:rPr>
        <w:t>平衡：</w:t>
      </w:r>
      <w:r>
        <w:t>加入</w:t>
      </w:r>
      <w:r>
        <w:t xml:space="preserve"> 500 μL </w:t>
      </w:r>
      <w:r>
        <w:t>结合缓冲液，轻柔吹打或端对端混合至完全分散；磁吸至澄清后弃上清。重复</w:t>
      </w:r>
      <w:r>
        <w:t xml:space="preserve"> 2 </w:t>
      </w:r>
      <w:r>
        <w:t>次。</w:t>
      </w:r>
    </w:p>
    <w:p w14:paraId="25D85A5B" w14:textId="77777777" w:rsidR="00010EF1" w:rsidRDefault="00000000">
      <w:pPr>
        <w:pStyle w:val="a"/>
        <w:numPr>
          <w:ilvl w:val="0"/>
          <w:numId w:val="9"/>
        </w:numPr>
      </w:pPr>
      <w:r>
        <w:rPr>
          <w:b/>
          <w:color w:val="7A271A"/>
        </w:rPr>
        <w:t>结合：</w:t>
      </w:r>
      <w:r>
        <w:t>加入</w:t>
      </w:r>
      <w:r>
        <w:t xml:space="preserve"> 0.5–1.0 mL </w:t>
      </w:r>
      <w:r>
        <w:t>澄清裂解液，确保磁珠可持续悬浮。室温端对端混合</w:t>
      </w:r>
      <w:r>
        <w:t xml:space="preserve"> 30 min</w:t>
      </w:r>
      <w:r>
        <w:t>；温度敏感蛋白可在</w:t>
      </w:r>
      <w:r>
        <w:t xml:space="preserve"> 2–8°C </w:t>
      </w:r>
      <w:r>
        <w:t>混合</w:t>
      </w:r>
      <w:r>
        <w:t xml:space="preserve"> 45–60 min</w:t>
      </w:r>
      <w:r>
        <w:t>。</w:t>
      </w:r>
    </w:p>
    <w:p w14:paraId="780F26E1" w14:textId="77777777" w:rsidR="00010EF1" w:rsidRDefault="00000000">
      <w:pPr>
        <w:pStyle w:val="a"/>
        <w:numPr>
          <w:ilvl w:val="0"/>
          <w:numId w:val="9"/>
        </w:numPr>
      </w:pPr>
      <w:r>
        <w:rPr>
          <w:b/>
          <w:color w:val="7A271A"/>
        </w:rPr>
        <w:t>分离：</w:t>
      </w:r>
      <w:r>
        <w:t>磁吸至上清完全澄清，将流穿液转移至新管并保留用于分析。不要吸走磁珠层。</w:t>
      </w:r>
    </w:p>
    <w:p w14:paraId="78536D10" w14:textId="77777777" w:rsidR="00010EF1" w:rsidRDefault="00000000">
      <w:pPr>
        <w:pStyle w:val="a"/>
        <w:numPr>
          <w:ilvl w:val="0"/>
          <w:numId w:val="9"/>
        </w:numPr>
      </w:pPr>
      <w:r>
        <w:rPr>
          <w:b/>
          <w:color w:val="7A271A"/>
        </w:rPr>
        <w:t>洗涤：</w:t>
      </w:r>
      <w:r>
        <w:t>加入</w:t>
      </w:r>
      <w:r>
        <w:t xml:space="preserve"> 500–1000 μL </w:t>
      </w:r>
      <w:r>
        <w:t>洗涤缓冲液，完全重悬并混合</w:t>
      </w:r>
      <w:r>
        <w:t xml:space="preserve"> 1–2 min</w:t>
      </w:r>
      <w:r>
        <w:t>；磁吸后弃上清。共洗涤</w:t>
      </w:r>
      <w:r>
        <w:t xml:space="preserve"> 3 </w:t>
      </w:r>
      <w:r>
        <w:t>次。高背景时可增加至</w:t>
      </w:r>
      <w:r>
        <w:t xml:space="preserve"> 4–5 </w:t>
      </w:r>
      <w:r>
        <w:t>次或提高咪唑至</w:t>
      </w:r>
      <w:r>
        <w:t xml:space="preserve"> 40–50 mM</w:t>
      </w:r>
      <w:r>
        <w:t>。</w:t>
      </w:r>
    </w:p>
    <w:p w14:paraId="338BEB3C" w14:textId="77777777" w:rsidR="00010EF1" w:rsidRDefault="00000000">
      <w:pPr>
        <w:pStyle w:val="a"/>
        <w:numPr>
          <w:ilvl w:val="0"/>
          <w:numId w:val="9"/>
        </w:numPr>
      </w:pPr>
      <w:r>
        <w:rPr>
          <w:b/>
          <w:color w:val="7A271A"/>
        </w:rPr>
        <w:t>洗脱</w:t>
      </w:r>
      <w:r>
        <w:rPr>
          <w:b/>
          <w:color w:val="7A271A"/>
        </w:rPr>
        <w:t xml:space="preserve"> 1</w:t>
      </w:r>
      <w:r>
        <w:rPr>
          <w:b/>
          <w:color w:val="7A271A"/>
        </w:rPr>
        <w:t>：</w:t>
      </w:r>
      <w:r>
        <w:t>加入</w:t>
      </w:r>
      <w:r>
        <w:t xml:space="preserve"> 50–100 μL </w:t>
      </w:r>
      <w:r>
        <w:t>洗脱缓冲液，完全重悬，室温混合</w:t>
      </w:r>
      <w:r>
        <w:t xml:space="preserve"> 5–10 min</w:t>
      </w:r>
      <w:r>
        <w:t>；磁吸至澄清，将洗脱液转移至新管。</w:t>
      </w:r>
    </w:p>
    <w:p w14:paraId="19CC3058" w14:textId="77777777" w:rsidR="00010EF1" w:rsidRDefault="00000000">
      <w:pPr>
        <w:pStyle w:val="a"/>
        <w:numPr>
          <w:ilvl w:val="0"/>
          <w:numId w:val="9"/>
        </w:numPr>
      </w:pPr>
      <w:r>
        <w:rPr>
          <w:b/>
          <w:color w:val="7A271A"/>
        </w:rPr>
        <w:t>洗脱</w:t>
      </w:r>
      <w:r>
        <w:rPr>
          <w:b/>
          <w:color w:val="7A271A"/>
        </w:rPr>
        <w:t xml:space="preserve"> 2</w:t>
      </w:r>
      <w:r>
        <w:rPr>
          <w:b/>
          <w:color w:val="7A271A"/>
        </w:rPr>
        <w:t>：</w:t>
      </w:r>
      <w:r>
        <w:t>需要提高总回收时，再加入</w:t>
      </w:r>
      <w:r>
        <w:t xml:space="preserve"> 50–100 μL </w:t>
      </w:r>
      <w:r>
        <w:t>洗脱缓冲液重复一次；需要高浓度时，将</w:t>
      </w:r>
      <w:r>
        <w:t xml:space="preserve"> E1</w:t>
      </w:r>
      <w:r>
        <w:t>、</w:t>
      </w:r>
      <w:r>
        <w:t xml:space="preserve">E2 </w:t>
      </w:r>
      <w:r>
        <w:t>分开保存。</w:t>
      </w:r>
    </w:p>
    <w:p w14:paraId="496767C0" w14:textId="77777777" w:rsidR="00010EF1" w:rsidRDefault="00000000">
      <w:pPr>
        <w:pStyle w:val="a"/>
        <w:numPr>
          <w:ilvl w:val="0"/>
          <w:numId w:val="9"/>
        </w:numPr>
      </w:pPr>
      <w:r>
        <w:rPr>
          <w:b/>
          <w:color w:val="7A271A"/>
        </w:rPr>
        <w:t>分析：</w:t>
      </w:r>
      <w:r>
        <w:t>分别检测</w:t>
      </w:r>
      <w:r>
        <w:t xml:space="preserve"> Input</w:t>
      </w:r>
      <w:r>
        <w:t>、</w:t>
      </w:r>
      <w:r>
        <w:t>Flow-through</w:t>
      </w:r>
      <w:r>
        <w:t>、</w:t>
      </w:r>
      <w:r>
        <w:t xml:space="preserve">Wash </w:t>
      </w:r>
      <w:r>
        <w:t>和</w:t>
      </w:r>
      <w:r>
        <w:t xml:space="preserve"> Elution</w:t>
      </w:r>
      <w:r>
        <w:t>。高浓度咪唑可能干扰部分蛋白定量、酶活或下游偶联，必要时透析、脱盐或超滤换液。</w:t>
      </w:r>
    </w:p>
    <w:p w14:paraId="1F040B0A" w14:textId="77777777" w:rsidR="00010EF1" w:rsidRDefault="00000000">
      <w:pPr>
        <w:pStyle w:val="21"/>
      </w:pPr>
      <w:r>
        <w:rPr>
          <w:rFonts w:ascii="Calibri" w:eastAsia="微软雅黑" w:hAnsi="Calibri"/>
        </w:rPr>
        <w:t>推荐的分段留样</w:t>
      </w:r>
    </w:p>
    <w:tbl>
      <w:tblPr>
        <w:tblStyle w:val="af4"/>
        <w:tblW w:w="9360" w:type="dxa"/>
        <w:tblInd w:w="120" w:type="dxa"/>
        <w:tblBorders>
          <w:top w:val="single" w:sz="4" w:space="0" w:color="D0D5DD"/>
          <w:left w:val="single" w:sz="4" w:space="0" w:color="D0D5DD"/>
          <w:bottom w:val="single" w:sz="4" w:space="0" w:color="D0D5DD"/>
          <w:right w:val="single" w:sz="4" w:space="0" w:color="D0D5DD"/>
          <w:insideH w:val="single" w:sz="4" w:space="0" w:color="D0D5DD"/>
          <w:insideV w:val="single" w:sz="4" w:space="0" w:color="D0D5DD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2600"/>
        <w:gridCol w:w="5060"/>
      </w:tblGrid>
      <w:tr w:rsidR="00010EF1" w14:paraId="010BA110" w14:textId="77777777">
        <w:trPr>
          <w:tblHeader/>
        </w:trPr>
        <w:tc>
          <w:tcPr>
            <w:tcW w:w="17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2853C0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8"/>
              </w:rPr>
              <w:t>组分</w:t>
            </w:r>
          </w:p>
        </w:tc>
        <w:tc>
          <w:tcPr>
            <w:tcW w:w="260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21D3C7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8"/>
              </w:rPr>
              <w:t>建议留样</w:t>
            </w:r>
          </w:p>
        </w:tc>
        <w:tc>
          <w:tcPr>
            <w:tcW w:w="5060" w:type="dxa"/>
            <w:shd w:val="clear" w:color="auto" w:fill="FDEC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C649D6" w14:textId="77777777" w:rsidR="00010EF1" w:rsidRDefault="00000000">
            <w:pPr>
              <w:spacing w:after="0" w:line="252" w:lineRule="auto"/>
              <w:jc w:val="center"/>
            </w:pPr>
            <w:r>
              <w:rPr>
                <w:b/>
                <w:color w:val="7A271A"/>
                <w:sz w:val="18"/>
              </w:rPr>
              <w:t>用途</w:t>
            </w:r>
          </w:p>
        </w:tc>
      </w:tr>
      <w:tr w:rsidR="00010EF1" w14:paraId="32E7E7B4" w14:textId="77777777">
        <w:trPr>
          <w:cantSplit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EA247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Input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1451DD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上样前</w:t>
            </w:r>
            <w:r>
              <w:rPr>
                <w:sz w:val="18"/>
              </w:rPr>
              <w:t xml:space="preserve"> 5–10 μL</w:t>
            </w:r>
          </w:p>
        </w:tc>
        <w:tc>
          <w:tcPr>
            <w:tcW w:w="5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9568F2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判断目标蛋白表达量与完整性</w:t>
            </w:r>
          </w:p>
        </w:tc>
      </w:tr>
      <w:tr w:rsidR="00010EF1" w14:paraId="5A0D67DB" w14:textId="77777777">
        <w:trPr>
          <w:cantSplit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B0AB6D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Flow-through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AD2F90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结合后上清</w:t>
            </w:r>
            <w:r>
              <w:rPr>
                <w:sz w:val="18"/>
              </w:rPr>
              <w:t xml:space="preserve"> 5–10 μL</w:t>
            </w:r>
          </w:p>
        </w:tc>
        <w:tc>
          <w:tcPr>
            <w:tcW w:w="5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6A5A4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判断磁珠是否不足或结合条件不合适</w:t>
            </w:r>
          </w:p>
        </w:tc>
      </w:tr>
      <w:tr w:rsidR="00010EF1" w14:paraId="5445718C" w14:textId="77777777">
        <w:trPr>
          <w:cantSplit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6303F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Wash 1 / Wash 3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85CC1C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各</w:t>
            </w:r>
            <w:r>
              <w:rPr>
                <w:sz w:val="18"/>
              </w:rPr>
              <w:t xml:space="preserve"> 5–10 μL</w:t>
            </w:r>
          </w:p>
        </w:tc>
        <w:tc>
          <w:tcPr>
            <w:tcW w:w="5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F4253C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判断洗涤强度和目标蛋白流失</w:t>
            </w:r>
          </w:p>
        </w:tc>
      </w:tr>
      <w:tr w:rsidR="00010EF1" w14:paraId="2155D873" w14:textId="77777777">
        <w:trPr>
          <w:cantSplit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21E05A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Elution 1 / 2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A8A407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各</w:t>
            </w:r>
            <w:r>
              <w:rPr>
                <w:sz w:val="18"/>
              </w:rPr>
              <w:t xml:space="preserve"> 5–10 μL</w:t>
            </w:r>
          </w:p>
        </w:tc>
        <w:tc>
          <w:tcPr>
            <w:tcW w:w="5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A97763" w14:textId="77777777" w:rsidR="00010EF1" w:rsidRDefault="00000000">
            <w:pPr>
              <w:spacing w:after="30" w:line="259" w:lineRule="auto"/>
            </w:pPr>
            <w:r>
              <w:rPr>
                <w:sz w:val="18"/>
              </w:rPr>
              <w:t>比较洗脱效率、纯度和是否需要合并</w:t>
            </w:r>
          </w:p>
        </w:tc>
      </w:tr>
    </w:tbl>
    <w:p w14:paraId="755D7231" w14:textId="77777777" w:rsidR="00010EF1" w:rsidRDefault="00000000">
      <w:pPr>
        <w:pStyle w:val="1"/>
      </w:pPr>
      <w:r>
        <w:rPr>
          <w:rFonts w:ascii="Calibri" w:eastAsia="微软雅黑" w:hAnsi="Calibri" w:hint="eastAsia"/>
          <w:lang w:val="en-US"/>
        </w:rPr>
        <w:lastRenderedPageBreak/>
        <w:t>6</w:t>
      </w:r>
      <w:r>
        <w:rPr>
          <w:rFonts w:ascii="Calibri" w:eastAsia="微软雅黑" w:hAnsi="Calibri"/>
        </w:rPr>
        <w:t xml:space="preserve">. </w:t>
      </w:r>
      <w:r>
        <w:rPr>
          <w:rFonts w:ascii="Calibri" w:eastAsia="微软雅黑" w:hAnsi="Calibri"/>
        </w:rPr>
        <w:t>清洗、再生与重复使用</w:t>
      </w:r>
    </w:p>
    <w:tbl>
      <w:tblPr>
        <w:tblStyle w:val="af4"/>
        <w:tblW w:w="9360" w:type="dxa"/>
        <w:tblInd w:w="120" w:type="dxa"/>
        <w:tblBorders>
          <w:top w:val="single" w:sz="4" w:space="0" w:color="D0D5DD"/>
          <w:left w:val="single" w:sz="4" w:space="0" w:color="D0D5DD"/>
          <w:bottom w:val="single" w:sz="4" w:space="0" w:color="D0D5DD"/>
          <w:right w:val="single" w:sz="4" w:space="0" w:color="D0D5DD"/>
          <w:insideH w:val="single" w:sz="4" w:space="0" w:color="D0D5DD"/>
          <w:insideV w:val="single" w:sz="4" w:space="0" w:color="D0D5DD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010EF1" w14:paraId="240CFFF3" w14:textId="77777777">
        <w:tc>
          <w:tcPr>
            <w:tcW w:w="9360" w:type="dxa"/>
            <w:shd w:val="clear" w:color="auto" w:fill="FFF7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2A768" w14:textId="77777777" w:rsidR="00010EF1" w:rsidRDefault="00000000">
            <w:pPr>
              <w:spacing w:after="0" w:line="283" w:lineRule="auto"/>
            </w:pPr>
            <w:r>
              <w:rPr>
                <w:b/>
                <w:color w:val="B54708"/>
                <w:sz w:val="20"/>
              </w:rPr>
              <w:t>原则</w:t>
            </w:r>
            <w:r>
              <w:rPr>
                <w:b/>
                <w:color w:val="B54708"/>
                <w:sz w:val="20"/>
              </w:rPr>
              <w:t xml:space="preserve">  </w:t>
            </w:r>
            <w:r>
              <w:rPr>
                <w:sz w:val="20"/>
              </w:rPr>
              <w:t>关键分析、不同客户样品或交叉污染风险高的实验，优先一次性使用。若重复使用，只建议用于同一目标蛋白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同一项目，并以回收率、纯度和镍脱落的趋势决定终止，而不是承诺固定复用次数。</w:t>
            </w:r>
          </w:p>
        </w:tc>
      </w:tr>
    </w:tbl>
    <w:p w14:paraId="21C3C57A" w14:textId="77777777" w:rsidR="00010EF1" w:rsidRDefault="00010EF1">
      <w:pPr>
        <w:spacing w:after="40"/>
      </w:pPr>
    </w:p>
    <w:p w14:paraId="6E7B95A3" w14:textId="77777777" w:rsidR="00010EF1" w:rsidRDefault="00000000">
      <w:pPr>
        <w:pStyle w:val="a"/>
        <w:numPr>
          <w:ilvl w:val="0"/>
          <w:numId w:val="10"/>
        </w:numPr>
      </w:pPr>
      <w:r>
        <w:t>用洗脱缓冲液洗涤</w:t>
      </w:r>
      <w:r>
        <w:t xml:space="preserve"> 2 </w:t>
      </w:r>
      <w:r>
        <w:t>次，再用超纯水洗涤</w:t>
      </w:r>
      <w:r>
        <w:t xml:space="preserve"> 3 </w:t>
      </w:r>
      <w:r>
        <w:t>次。</w:t>
      </w:r>
    </w:p>
    <w:p w14:paraId="16287086" w14:textId="77777777" w:rsidR="00010EF1" w:rsidRDefault="00000000">
      <w:pPr>
        <w:pStyle w:val="a"/>
        <w:numPr>
          <w:ilvl w:val="0"/>
          <w:numId w:val="10"/>
        </w:numPr>
      </w:pPr>
      <w:r>
        <w:t>加入</w:t>
      </w:r>
      <w:r>
        <w:t xml:space="preserve"> 5–10 </w:t>
      </w:r>
      <w:r>
        <w:t>倍</w:t>
      </w:r>
      <w:r>
        <w:t xml:space="preserve"> settled beads </w:t>
      </w:r>
      <w:r>
        <w:t>体积的</w:t>
      </w:r>
      <w:r>
        <w:t xml:space="preserve"> 100 mM EDTA</w:t>
      </w:r>
      <w:r>
        <w:t>（</w:t>
      </w:r>
      <w:r>
        <w:t>pH 8.0</w:t>
      </w:r>
      <w:r>
        <w:t>），室温混合</w:t>
      </w:r>
      <w:r>
        <w:t xml:space="preserve"> 10 min</w:t>
      </w:r>
      <w:r>
        <w:t>；磁吸弃液，重复</w:t>
      </w:r>
      <w:r>
        <w:t xml:space="preserve"> 1 </w:t>
      </w:r>
      <w:r>
        <w:t>次以剥离</w:t>
      </w:r>
      <w:r>
        <w:t xml:space="preserve"> Ni²⁺</w:t>
      </w:r>
      <w:r>
        <w:t>。</w:t>
      </w:r>
    </w:p>
    <w:p w14:paraId="28718425" w14:textId="77777777" w:rsidR="00010EF1" w:rsidRDefault="00000000">
      <w:pPr>
        <w:pStyle w:val="a"/>
        <w:numPr>
          <w:ilvl w:val="0"/>
          <w:numId w:val="10"/>
        </w:numPr>
      </w:pPr>
      <w:r>
        <w:t>用超纯水洗涤</w:t>
      </w:r>
      <w:r>
        <w:t xml:space="preserve"> 5 </w:t>
      </w:r>
      <w:r>
        <w:t>次，直至无残留</w:t>
      </w:r>
      <w:r>
        <w:t xml:space="preserve"> EDTA</w:t>
      </w:r>
      <w:r>
        <w:t>。</w:t>
      </w:r>
    </w:p>
    <w:p w14:paraId="25E75383" w14:textId="77777777" w:rsidR="00010EF1" w:rsidRDefault="00000000">
      <w:pPr>
        <w:pStyle w:val="a"/>
        <w:numPr>
          <w:ilvl w:val="0"/>
          <w:numId w:val="10"/>
        </w:numPr>
      </w:pPr>
      <w:r>
        <w:t>需要深度清洁时，可用</w:t>
      </w:r>
      <w:r>
        <w:t xml:space="preserve"> 0.5 M NaOH + 2 M NaCl </w:t>
      </w:r>
      <w:r>
        <w:t>室温处理</w:t>
      </w:r>
      <w:r>
        <w:t xml:space="preserve"> 10 min</w:t>
      </w:r>
      <w:r>
        <w:t>；随后以超纯水充分洗至中性。该步骤须先验证对本品载量的影响。</w:t>
      </w:r>
    </w:p>
    <w:p w14:paraId="367B9AC9" w14:textId="77777777" w:rsidR="00010EF1" w:rsidRDefault="00000000">
      <w:pPr>
        <w:pStyle w:val="a"/>
        <w:numPr>
          <w:ilvl w:val="0"/>
          <w:numId w:val="10"/>
        </w:numPr>
      </w:pPr>
      <w:r>
        <w:t>加入</w:t>
      </w:r>
      <w:r>
        <w:t xml:space="preserve"> 5–10 </w:t>
      </w:r>
      <w:r>
        <w:t>倍</w:t>
      </w:r>
      <w:r>
        <w:t xml:space="preserve"> settled beads </w:t>
      </w:r>
      <w:r>
        <w:t>体积的</w:t>
      </w:r>
      <w:r>
        <w:t xml:space="preserve"> 100 mM NiSO₄ </w:t>
      </w:r>
      <w:r>
        <w:t>或</w:t>
      </w:r>
      <w:r>
        <w:t xml:space="preserve"> NiCl₂</w:t>
      </w:r>
      <w:r>
        <w:t>，室温混合</w:t>
      </w:r>
      <w:r>
        <w:t xml:space="preserve"> 30–60 min </w:t>
      </w:r>
      <w:r>
        <w:t>重新上镍。</w:t>
      </w:r>
    </w:p>
    <w:p w14:paraId="3EEDF4D3" w14:textId="77777777" w:rsidR="00010EF1" w:rsidRDefault="00000000">
      <w:pPr>
        <w:pStyle w:val="a"/>
        <w:numPr>
          <w:ilvl w:val="0"/>
          <w:numId w:val="10"/>
        </w:numPr>
      </w:pPr>
      <w:r>
        <w:t>磁吸去除上清，用超纯水洗涤至少</w:t>
      </w:r>
      <w:r>
        <w:t xml:space="preserve"> 5 </w:t>
      </w:r>
      <w:r>
        <w:t>次，再用结合缓冲液平衡</w:t>
      </w:r>
      <w:r>
        <w:t xml:space="preserve"> 2 </w:t>
      </w:r>
      <w:r>
        <w:t>次后使用。</w:t>
      </w:r>
    </w:p>
    <w:p w14:paraId="49D61A65" w14:textId="77777777" w:rsidR="00010EF1" w:rsidRDefault="00000000">
      <w:pPr>
        <w:pStyle w:val="a"/>
        <w:numPr>
          <w:ilvl w:val="0"/>
          <w:numId w:val="10"/>
        </w:numPr>
      </w:pPr>
      <w:r>
        <w:t>记录每次循环的</w:t>
      </w:r>
      <w:r>
        <w:t xml:space="preserve"> Input</w:t>
      </w:r>
      <w:r>
        <w:t>、</w:t>
      </w:r>
      <w:r>
        <w:t>Flow-through</w:t>
      </w:r>
      <w:r>
        <w:t>、</w:t>
      </w:r>
      <w:r>
        <w:t>Elution</w:t>
      </w:r>
      <w:r>
        <w:t>、纯度和回收率；若性能明显下降或颗粒聚集，停止复用。</w:t>
      </w:r>
    </w:p>
    <w:p w14:paraId="35BF6311" w14:textId="77777777" w:rsidR="00010EF1" w:rsidRDefault="00000000">
      <w:r>
        <w:t>含镍、</w:t>
      </w:r>
      <w:r>
        <w:t>EDTA</w:t>
      </w:r>
      <w:r>
        <w:t>、强碱及样品残留的废液必须按实验室化学</w:t>
      </w:r>
      <w:r>
        <w:t>/</w:t>
      </w:r>
      <w:r>
        <w:t>生物废物规范分类处理，不得直接按普通生活废液处置。</w:t>
      </w:r>
    </w:p>
    <w:p w14:paraId="0A485CDE" w14:textId="77777777" w:rsidR="00010EF1" w:rsidRDefault="00010EF1">
      <w:pPr>
        <w:spacing w:after="40"/>
      </w:pPr>
    </w:p>
    <w:sectPr w:rsidR="00010EF1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0573A" w14:textId="77777777" w:rsidR="005F50CA" w:rsidRDefault="005F50CA">
      <w:pPr>
        <w:spacing w:line="240" w:lineRule="auto"/>
      </w:pPr>
      <w:r>
        <w:separator/>
      </w:r>
    </w:p>
  </w:endnote>
  <w:endnote w:type="continuationSeparator" w:id="0">
    <w:p w14:paraId="183639EC" w14:textId="77777777" w:rsidR="005F50CA" w:rsidRDefault="005F50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8823" w14:textId="77777777" w:rsidR="00010EF1" w:rsidRDefault="00000000">
    <w:pPr>
      <w:pStyle w:val="ab"/>
    </w:pPr>
    <w:r>
      <w:rPr>
        <w:color w:val="667085"/>
        <w:sz w:val="17"/>
      </w:rPr>
      <w:t>仅供科研使用</w:t>
    </w:r>
    <w:r>
      <w:rPr>
        <w:color w:val="667085"/>
        <w:sz w:val="17"/>
      </w:rPr>
      <w:t xml:space="preserve">  |  RC-IFU-NINTA-MA-001  |  V1.0</w:t>
    </w:r>
    <w:r>
      <w:rPr>
        <w:color w:val="667085"/>
        <w:sz w:val="17"/>
      </w:rPr>
      <w:tab/>
    </w:r>
    <w:r>
      <w:rPr>
        <w:color w:val="667085"/>
        <w:sz w:val="17"/>
      </w:rPr>
      <w:t>第</w:t>
    </w:r>
    <w:r>
      <w:rPr>
        <w:color w:val="667085"/>
        <w:sz w:val="17"/>
      </w:rPr>
      <w:t xml:space="preserve"> </w:t>
    </w:r>
    <w:r>
      <w:rPr>
        <w:color w:val="667085"/>
        <w:sz w:val="17"/>
      </w:rPr>
      <w:fldChar w:fldCharType="begin"/>
    </w:r>
    <w:r>
      <w:rPr>
        <w:color w:val="667085"/>
        <w:sz w:val="17"/>
      </w:rPr>
      <w:instrText xml:space="preserve"> PAGE </w:instrText>
    </w:r>
    <w:r>
      <w:rPr>
        <w:color w:val="667085"/>
        <w:sz w:val="17"/>
      </w:rPr>
      <w:fldChar w:fldCharType="separate"/>
    </w:r>
    <w:r>
      <w:rPr>
        <w:color w:val="667085"/>
        <w:sz w:val="17"/>
      </w:rPr>
      <w:t>1</w:t>
    </w:r>
    <w:r>
      <w:rPr>
        <w:color w:val="667085"/>
        <w:sz w:val="17"/>
      </w:rPr>
      <w:fldChar w:fldCharType="end"/>
    </w:r>
    <w:r>
      <w:rPr>
        <w:color w:val="667085"/>
        <w:sz w:val="17"/>
      </w:rPr>
      <w:t xml:space="preserve"> </w:t>
    </w:r>
    <w:r>
      <w:rPr>
        <w:color w:val="667085"/>
        <w:sz w:val="17"/>
      </w:rPr>
      <w:t>页</w:t>
    </w:r>
  </w:p>
  <w:p w14:paraId="31FAA56C" w14:textId="77777777" w:rsidR="00010EF1" w:rsidRDefault="00010EF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C9FCB" w14:textId="77777777" w:rsidR="005F50CA" w:rsidRDefault="005F50CA">
      <w:pPr>
        <w:spacing w:after="0"/>
      </w:pPr>
      <w:r>
        <w:separator/>
      </w:r>
    </w:p>
  </w:footnote>
  <w:footnote w:type="continuationSeparator" w:id="0">
    <w:p w14:paraId="192E30F3" w14:textId="77777777" w:rsidR="005F50CA" w:rsidRDefault="005F50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F0C7E" w14:textId="77777777" w:rsidR="00010EF1" w:rsidRDefault="00000000">
    <w:pPr>
      <w:pStyle w:val="ad"/>
    </w:pPr>
    <w:r>
      <w:rPr>
        <w:b/>
        <w:color w:val="B42318"/>
        <w:sz w:val="17"/>
      </w:rPr>
      <w:t xml:space="preserve">RedConju®  |  </w:t>
    </w:r>
    <w:r>
      <w:rPr>
        <w:b/>
        <w:color w:val="B42318"/>
        <w:sz w:val="17"/>
      </w:rPr>
      <w:t>弘溪联生物科技</w:t>
    </w:r>
    <w:r>
      <w:rPr>
        <w:color w:val="667085"/>
        <w:sz w:val="17"/>
      </w:rPr>
      <w:tab/>
      <w:t xml:space="preserve">Ni-NTA </w:t>
    </w:r>
    <w:r>
      <w:rPr>
        <w:color w:val="667085"/>
        <w:sz w:val="17"/>
      </w:rPr>
      <w:t>琼脂糖磁珠技术说明书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A23D99"/>
    <w:multiLevelType w:val="singleLevel"/>
    <w:tmpl w:val="BBA23D99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BF205925"/>
    <w:multiLevelType w:val="singleLevel"/>
    <w:tmpl w:val="BF205925"/>
    <w:lvl w:ilvl="0">
      <w:start w:val="1"/>
      <w:numFmt w:val="decimal"/>
      <w:lvlText w:val="%1."/>
      <w:lvlJc w:val="left"/>
      <w:pPr>
        <w:tabs>
          <w:tab w:val="left" w:pos="540"/>
        </w:tabs>
        <w:spacing w:after="80" w:line="300" w:lineRule="auto"/>
        <w:ind w:left="540" w:hanging="270"/>
      </w:pPr>
      <w:rPr>
        <w:rFonts w:ascii="Calibri" w:eastAsia="微软雅黑" w:hAnsi="Calibri"/>
        <w:color w:val="B42318"/>
      </w:r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D62ECE"/>
    <w:multiLevelType w:val="singleLevel"/>
    <w:tmpl w:val="03D62ECE"/>
    <w:lvl w:ilvl="0">
      <w:start w:val="1"/>
      <w:numFmt w:val="decimal"/>
      <w:lvlText w:val="%1."/>
      <w:lvlJc w:val="left"/>
      <w:pPr>
        <w:tabs>
          <w:tab w:val="left" w:pos="540"/>
        </w:tabs>
        <w:spacing w:after="80" w:line="300" w:lineRule="auto"/>
        <w:ind w:left="540" w:hanging="270"/>
      </w:pPr>
      <w:rPr>
        <w:rFonts w:ascii="Calibri" w:eastAsia="微软雅黑" w:hAnsi="Calibri"/>
        <w:color w:val="B42318"/>
      </w:rPr>
    </w:lvl>
  </w:abstractNum>
  <w:abstractNum w:abstractNumId="9" w15:restartNumberingAfterBreak="0">
    <w:nsid w:val="59ADCABA"/>
    <w:multiLevelType w:val="singleLevel"/>
    <w:tmpl w:val="59ADCABA"/>
    <w:lvl w:ilvl="0">
      <w:start w:val="1"/>
      <w:numFmt w:val="decimal"/>
      <w:lvlText w:val="%1."/>
      <w:lvlJc w:val="left"/>
      <w:pPr>
        <w:tabs>
          <w:tab w:val="left" w:pos="540"/>
        </w:tabs>
        <w:spacing w:after="80" w:line="300" w:lineRule="auto"/>
        <w:ind w:left="540" w:hanging="270"/>
      </w:pPr>
      <w:rPr>
        <w:rFonts w:ascii="Calibri" w:eastAsia="微软雅黑" w:hAnsi="Calibri"/>
        <w:color w:val="B42318"/>
      </w:rPr>
    </w:lvl>
  </w:abstractNum>
  <w:num w:numId="1" w16cid:durableId="1973709630">
    <w:abstractNumId w:val="3"/>
  </w:num>
  <w:num w:numId="2" w16cid:durableId="1560509045">
    <w:abstractNumId w:val="6"/>
  </w:num>
  <w:num w:numId="3" w16cid:durableId="1289968607">
    <w:abstractNumId w:val="7"/>
  </w:num>
  <w:num w:numId="4" w16cid:durableId="2056352022">
    <w:abstractNumId w:val="4"/>
  </w:num>
  <w:num w:numId="5" w16cid:durableId="559291832">
    <w:abstractNumId w:val="2"/>
  </w:num>
  <w:num w:numId="6" w16cid:durableId="597524126">
    <w:abstractNumId w:val="5"/>
  </w:num>
  <w:num w:numId="7" w16cid:durableId="810631935">
    <w:abstractNumId w:val="0"/>
  </w:num>
  <w:num w:numId="8" w16cid:durableId="1569267857">
    <w:abstractNumId w:val="9"/>
  </w:num>
  <w:num w:numId="9" w16cid:durableId="466439422">
    <w:abstractNumId w:val="1"/>
  </w:num>
  <w:num w:numId="10" w16cid:durableId="16032193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0EF1"/>
    <w:rsid w:val="00034616"/>
    <w:rsid w:val="0006063C"/>
    <w:rsid w:val="0015074B"/>
    <w:rsid w:val="0029639D"/>
    <w:rsid w:val="00326F90"/>
    <w:rsid w:val="005F50CA"/>
    <w:rsid w:val="007958E0"/>
    <w:rsid w:val="00AA1D8D"/>
    <w:rsid w:val="00B47730"/>
    <w:rsid w:val="00CB0664"/>
    <w:rsid w:val="00FC693F"/>
    <w:rsid w:val="00FD05C2"/>
    <w:rsid w:val="02511F45"/>
    <w:rsid w:val="03280EF8"/>
    <w:rsid w:val="050D2A9B"/>
    <w:rsid w:val="154D2A40"/>
    <w:rsid w:val="1DD41F50"/>
    <w:rsid w:val="21213858"/>
    <w:rsid w:val="29CC7F7F"/>
    <w:rsid w:val="35FC1BEC"/>
    <w:rsid w:val="3E75078E"/>
    <w:rsid w:val="413466DE"/>
    <w:rsid w:val="49B303BC"/>
    <w:rsid w:val="4AF15640"/>
    <w:rsid w:val="4D302450"/>
    <w:rsid w:val="54D67D81"/>
    <w:rsid w:val="6844104D"/>
    <w:rsid w:val="6B642B0D"/>
    <w:rsid w:val="6C9C4FB4"/>
    <w:rsid w:val="6DB427D1"/>
    <w:rsid w:val="6F773AB6"/>
    <w:rsid w:val="73F608DA"/>
    <w:rsid w:val="743B05C1"/>
    <w:rsid w:val="7A89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F27C6D"/>
  <w14:defaultImageDpi w14:val="300"/>
  <w15:docId w15:val="{DD7D12B5-A17A-48A0-BCF1-C2975CEA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120" w:line="300" w:lineRule="auto"/>
    </w:pPr>
    <w:rPr>
      <w:rFonts w:ascii="Calibri" w:eastAsia="微软雅黑" w:hAnsi="Calibri" w:cstheme="minorBidi"/>
      <w:color w:val="101828"/>
      <w:sz w:val="22"/>
      <w:szCs w:val="22"/>
      <w:lang w:val="zh-CN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/>
      <w:b/>
      <w:bCs/>
      <w:color w:val="B42318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/>
      <w:b/>
      <w:bCs/>
      <w:color w:val="B42318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/>
      <w:b/>
      <w:bCs/>
      <w:color w:val="7A271A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spacing w:after="80"/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spacing w:after="80"/>
      <w:contextualSpacing/>
    </w:pPr>
  </w:style>
  <w:style w:type="paragraph" w:styleId="34">
    <w:name w:val="Body Text 3"/>
    <w:basedOn w:val="a1"/>
    <w:link w:val="35"/>
    <w:uiPriority w:val="99"/>
    <w:unhideWhenUsed/>
    <w:qFormat/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qFormat/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pPr>
      <w:spacing w:after="440"/>
    </w:pPr>
    <w:rPr>
      <w:rFonts w:asciiTheme="majorHAnsi" w:eastAsiaTheme="majorEastAsia" w:hAnsiTheme="majorHAnsi" w:cstheme="majorBidi"/>
      <w:iCs/>
      <w:color w:val="667085"/>
      <w:spacing w:val="15"/>
      <w:sz w:val="27"/>
      <w:szCs w:val="24"/>
    </w:rPr>
  </w:style>
  <w:style w:type="paragraph" w:styleId="af1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line="480" w:lineRule="auto"/>
    </w:pPr>
  </w:style>
  <w:style w:type="paragraph" w:styleId="26">
    <w:name w:val="List Continue 2"/>
    <w:basedOn w:val="a1"/>
    <w:uiPriority w:val="99"/>
    <w:unhideWhenUsed/>
    <w:qFormat/>
    <w:pPr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7A271A"/>
      <w:spacing w:val="5"/>
      <w:kern w:val="28"/>
      <w:sz w:val="62"/>
      <w:szCs w:val="52"/>
    </w:rPr>
  </w:style>
  <w:style w:type="table" w:styleId="af4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  <w:qFormat/>
  </w:style>
  <w:style w:type="paragraph" w:styleId="afe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qFormat/>
  </w:style>
  <w:style w:type="character" w:customStyle="1" w:styleId="25">
    <w:name w:val="正文文本 2 字符"/>
    <w:basedOn w:val="a2"/>
    <w:link w:val="24"/>
    <w:uiPriority w:val="99"/>
    <w:qFormat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paragraph" w:customStyle="1" w:styleId="TableCitation">
    <w:name w:val="Table Citation"/>
    <w:qFormat/>
    <w:pPr>
      <w:spacing w:before="80" w:after="80"/>
    </w:pPr>
    <w:rPr>
      <w:rFonts w:ascii="Calibri" w:eastAsia="微软雅黑" w:hAnsi="Calibri" w:cstheme="minorBidi"/>
      <w:i/>
      <w:color w:val="667085"/>
      <w:sz w:val="17"/>
      <w:szCs w:val="22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RedConju Ni-NTA琼脂糖磁珠（1-5 μm，25% slurry）产品说明书</dc:title>
  <dc:subject>His标签蛋白磁性亲和纯化</dc:subject>
  <dc:creator>弘溪联生物科技（上海）有限公司</dc:creator>
  <dc:description>技术说明书 V1.0</dc:description>
  <cp:lastModifiedBy>徐 长刚</cp:lastModifiedBy>
  <cp:revision>2</cp:revision>
  <cp:lastPrinted>2026-08-12T09:56:00Z</cp:lastPrinted>
  <dcterms:created xsi:type="dcterms:W3CDTF">2026-08-11T00:00:00Z</dcterms:created>
  <dcterms:modified xsi:type="dcterms:W3CDTF">2026-08-14T00:29:00Z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eyJoZGlkIjoiMGMwYWY5NjQ3NzdiYzcwNWVlYjA5NWRkNDY3MzZmOWEiLCJ1c2VySWQiOiIzMTQwOTY1OTAifQ==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05C49D79FB4C4B96B651EE7E4E994AE3_13</vt:lpwstr>
  </property>
</Properties>
</file>