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8B3228">
      <w:pPr>
        <w:spacing w:before="80" w:after="80"/>
      </w:pPr>
      <w:r>
        <w:rPr>
          <w:rFonts w:ascii="Arial" w:hAnsi="Arial" w:eastAsia="微软雅黑" w:cs="Arial"/>
          <w:b/>
          <w:color w:val="B31B34"/>
          <w:sz w:val="20"/>
        </w:rPr>
        <w:t>REDconju  PRODUCT INSTRUCTIONS</w:t>
      </w:r>
    </w:p>
    <w:p w14:paraId="17E6B13F">
      <w:pPr>
        <w:spacing w:before="0" w:after="60" w:line="240" w:lineRule="auto"/>
      </w:pPr>
      <w:r>
        <w:rPr>
          <w:rFonts w:ascii="Arial" w:hAnsi="Arial" w:eastAsia="微软雅黑" w:cs="Arial"/>
          <w:b/>
          <w:color w:val="7A1024"/>
          <w:sz w:val="54"/>
        </w:rPr>
        <w:t>Anti-HA 琼脂糖磁珠</w:t>
      </w:r>
    </w:p>
    <w:p w14:paraId="15FB48FD">
      <w:pPr>
        <w:spacing w:before="0" w:after="260"/>
        <w:rPr>
          <w:rFonts w:ascii="Arial" w:hAnsi="Arial" w:eastAsia="微软雅黑" w:cs="Arial"/>
          <w:b w:val="0"/>
          <w:color w:val="646A73"/>
          <w:sz w:val="27"/>
        </w:rPr>
      </w:pPr>
      <w:r>
        <w:rPr>
          <w:rFonts w:ascii="Arial" w:hAnsi="Arial" w:eastAsia="微软雅黑" w:cs="Arial"/>
          <w:b w:val="0"/>
          <w:color w:val="646A73"/>
          <w:sz w:val="27"/>
        </w:rPr>
        <w:t>Anti-HA Magnetic Agarose Beads</w:t>
      </w:r>
    </w:p>
    <w:p w14:paraId="68E3B8DE">
      <w:pPr>
        <w:numPr>
          <w:ilvl w:val="0"/>
          <w:numId w:val="0"/>
        </w:numPr>
        <w:spacing w:before="0" w:after="260"/>
        <w:rPr>
          <w:rFonts w:ascii="Arial" w:hAnsi="Arial" w:eastAsia="微软雅黑" w:cs="Arial"/>
          <w:b/>
          <w:color w:val="B31B34"/>
          <w:sz w:val="32"/>
        </w:rPr>
      </w:pPr>
      <w:r>
        <w:rPr>
          <w:rFonts w:ascii="Arial" w:hAnsi="Arial" w:eastAsia="微软雅黑" w:cs="Arial"/>
          <w:b/>
          <w:color w:val="B31B34"/>
          <w:sz w:val="32"/>
          <w:szCs w:val="22"/>
          <w:lang w:val="en-US" w:eastAsia="en-US" w:bidi="ar-SA"/>
        </w:rPr>
        <w:t>1.</w:t>
      </w:r>
      <w:r>
        <w:rPr>
          <w:rFonts w:ascii="Arial" w:hAnsi="Arial" w:eastAsia="微软雅黑" w:cs="Arial"/>
          <w:b/>
          <w:color w:val="B31B34"/>
          <w:sz w:val="32"/>
        </w:rPr>
        <w:t>产品概述</w:t>
      </w:r>
    </w:p>
    <w:p w14:paraId="6F3612E6">
      <w:pPr>
        <w:numPr>
          <w:numId w:val="0"/>
        </w:numPr>
        <w:spacing w:before="0" w:after="260"/>
      </w:pPr>
      <w:r>
        <w:rPr>
          <w:rFonts w:ascii="Arial" w:hAnsi="Arial" w:eastAsia="微软雅黑" w:cs="Arial"/>
          <w:color w:val="22252A"/>
          <w:sz w:val="22"/>
        </w:rPr>
        <w:t>Anti-HA 琼脂糖磁珠以磁性琼脂糖为固相载体，在其表面稳定固定 anti-HA 抗体，可从细胞裂解液、体外表达体系或其他澄清生物样品中捕获含 HA 表位的融合蛋白。结合后通过磁力架快速完成固液分离，再以游离 HA peptide 竞争洗脱目标蛋白及其相互作用组分。</w:t>
      </w:r>
    </w:p>
    <w:p w14:paraId="2EC45485">
      <w:pPr>
        <w:spacing w:before="0" w:after="120" w:line="300" w:lineRule="auto"/>
        <w:rPr>
          <w:rFonts w:ascii="Arial" w:hAnsi="Arial" w:eastAsia="微软雅黑" w:cs="Arial"/>
          <w:color w:val="22252A"/>
          <w:sz w:val="22"/>
        </w:rPr>
      </w:pPr>
      <w:r>
        <w:rPr>
          <w:rFonts w:ascii="Arial" w:hAnsi="Arial" w:eastAsia="微软雅黑" w:cs="Arial"/>
          <w:color w:val="22252A"/>
          <w:sz w:val="22"/>
        </w:rPr>
        <w:t>典型 HA 表位序列为 YPYDVPDYA。N 端或 C 端标签通常均可用于捕获，但标签是否暴露、邻近结构及多聚状态会显著影响实际结合效率，因此首次使用应同时检测 Input、Flow-through 和 Elution，而不能只看最终洗脱液。</w:t>
      </w:r>
    </w:p>
    <w:p w14:paraId="7496A738">
      <w:pPr>
        <w:numPr>
          <w:numId w:val="0"/>
        </w:numPr>
        <w:spacing w:before="0" w:after="120" w:line="300" w:lineRule="auto"/>
        <w:ind w:leftChars="0"/>
      </w:pPr>
      <w:r>
        <w:rPr>
          <w:rFonts w:hint="eastAsia" w:ascii="Arial" w:hAnsi="Arial" w:cs="Arial"/>
          <w:b/>
          <w:color w:val="B31B34"/>
          <w:sz w:val="32"/>
          <w:lang w:val="en-US" w:eastAsia="zh-CN"/>
        </w:rPr>
        <w:t>2.产</w:t>
      </w:r>
      <w:r>
        <w:rPr>
          <w:rFonts w:ascii="Arial" w:hAnsi="Arial" w:eastAsia="微软雅黑" w:cs="Arial"/>
          <w:b/>
          <w:color w:val="B31B34"/>
          <w:sz w:val="32"/>
        </w:rPr>
        <w:t>品规格</w:t>
      </w:r>
    </w:p>
    <w:tbl>
      <w:tblPr>
        <w:tblStyle w:val="32"/>
        <w:tblW w:w="9360" w:type="dxa"/>
        <w:tblInd w:w="1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00"/>
        <w:gridCol w:w="6660"/>
      </w:tblGrid>
      <w:tr w14:paraId="1AA046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2700" w:type="dxa"/>
            <w:tcBorders>
              <w:top w:val="single" w:color="D9DCE1" w:sz="6" w:space="0"/>
              <w:left w:val="single" w:color="D9DCE1" w:sz="6" w:space="0"/>
              <w:bottom w:val="single" w:color="D9DCE1" w:sz="6" w:space="0"/>
              <w:right w:val="single" w:color="D9DCE1" w:sz="6" w:space="0"/>
            </w:tcBorders>
            <w:shd w:val="clear" w:color="auto" w:fill="FCECE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383CF48">
            <w:pPr>
              <w:spacing w:before="0" w:after="0" w:line="276" w:lineRule="auto"/>
              <w:jc w:val="center"/>
            </w:pPr>
            <w:r>
              <w:rPr>
                <w:rFonts w:ascii="Arial" w:hAnsi="Arial" w:eastAsia="微软雅黑" w:cs="Arial"/>
                <w:b/>
                <w:color w:val="7A1024"/>
                <w:sz w:val="20"/>
              </w:rPr>
              <w:t>项目</w:t>
            </w:r>
          </w:p>
        </w:tc>
        <w:tc>
          <w:tcPr>
            <w:tcW w:w="6660" w:type="dxa"/>
            <w:tcBorders>
              <w:top w:val="single" w:color="D9DCE1" w:sz="6" w:space="0"/>
              <w:left w:val="single" w:color="D9DCE1" w:sz="6" w:space="0"/>
              <w:bottom w:val="single" w:color="D9DCE1" w:sz="6" w:space="0"/>
              <w:right w:val="single" w:color="D9DCE1" w:sz="6" w:space="0"/>
            </w:tcBorders>
            <w:shd w:val="clear" w:color="auto" w:fill="FCECE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135CBDB">
            <w:pPr>
              <w:spacing w:before="0" w:after="0" w:line="276" w:lineRule="auto"/>
              <w:jc w:val="center"/>
            </w:pPr>
            <w:r>
              <w:rPr>
                <w:rFonts w:ascii="Arial" w:hAnsi="Arial" w:eastAsia="微软雅黑" w:cs="Arial"/>
                <w:b/>
                <w:color w:val="7A1024"/>
                <w:sz w:val="20"/>
              </w:rPr>
              <w:t>规格/说明</w:t>
            </w:r>
          </w:p>
        </w:tc>
      </w:tr>
      <w:tr w14:paraId="0A120B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700" w:type="dxa"/>
            <w:tcBorders>
              <w:top w:val="single" w:color="D9DCE1" w:sz="6" w:space="0"/>
              <w:left w:val="single" w:color="D9DCE1" w:sz="6" w:space="0"/>
              <w:bottom w:val="single" w:color="D9DCE1" w:sz="6" w:space="0"/>
              <w:right w:val="single" w:color="D9DCE1" w:sz="6" w:space="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F95AC0D">
            <w:pPr>
              <w:spacing w:before="0" w:after="0" w:line="276" w:lineRule="auto"/>
              <w:jc w:val="left"/>
            </w:pPr>
            <w:r>
              <w:rPr>
                <w:rFonts w:ascii="Arial" w:hAnsi="Arial" w:eastAsia="微软雅黑" w:cs="Arial"/>
                <w:b/>
                <w:color w:val="7A1024"/>
                <w:sz w:val="20"/>
              </w:rPr>
              <w:t>基质</w:t>
            </w:r>
          </w:p>
        </w:tc>
        <w:tc>
          <w:tcPr>
            <w:tcW w:w="6660" w:type="dxa"/>
            <w:tcBorders>
              <w:top w:val="single" w:color="D9DCE1" w:sz="6" w:space="0"/>
              <w:left w:val="single" w:color="D9DCE1" w:sz="6" w:space="0"/>
              <w:bottom w:val="single" w:color="D9DCE1" w:sz="6" w:space="0"/>
              <w:right w:val="single" w:color="D9DCE1" w:sz="6" w:space="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499B2EF">
            <w:pPr>
              <w:spacing w:before="0" w:after="0" w:line="276" w:lineRule="auto"/>
              <w:jc w:val="left"/>
            </w:pPr>
            <w:r>
              <w:rPr>
                <w:rFonts w:ascii="Arial" w:hAnsi="Arial" w:eastAsia="微软雅黑" w:cs="Arial"/>
                <w:b w:val="0"/>
                <w:color w:val="22252A"/>
                <w:sz w:val="20"/>
              </w:rPr>
              <w:t>磁性琼脂糖（Anti-HA 抗体已固定）</w:t>
            </w:r>
          </w:p>
        </w:tc>
      </w:tr>
      <w:tr w14:paraId="1C9D3F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700" w:type="dxa"/>
            <w:tcBorders>
              <w:top w:val="single" w:color="D9DCE1" w:sz="6" w:space="0"/>
              <w:left w:val="single" w:color="D9DCE1" w:sz="6" w:space="0"/>
              <w:bottom w:val="single" w:color="D9DCE1" w:sz="6" w:space="0"/>
              <w:right w:val="single" w:color="D9DCE1" w:sz="6" w:space="0"/>
            </w:tcBorders>
            <w:shd w:val="clear" w:color="auto" w:fill="FCFCFD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DE9B69F">
            <w:pPr>
              <w:spacing w:before="0" w:after="0" w:line="276" w:lineRule="auto"/>
              <w:jc w:val="left"/>
            </w:pPr>
            <w:r>
              <w:rPr>
                <w:rFonts w:ascii="Arial" w:hAnsi="Arial" w:eastAsia="微软雅黑" w:cs="Arial"/>
                <w:b/>
                <w:color w:val="7A1024"/>
                <w:sz w:val="20"/>
              </w:rPr>
              <w:t>粒径</w:t>
            </w:r>
          </w:p>
        </w:tc>
        <w:tc>
          <w:tcPr>
            <w:tcW w:w="6660" w:type="dxa"/>
            <w:tcBorders>
              <w:top w:val="single" w:color="D9DCE1" w:sz="6" w:space="0"/>
              <w:left w:val="single" w:color="D9DCE1" w:sz="6" w:space="0"/>
              <w:bottom w:val="single" w:color="D9DCE1" w:sz="6" w:space="0"/>
              <w:right w:val="single" w:color="D9DCE1" w:sz="6" w:space="0"/>
            </w:tcBorders>
            <w:shd w:val="clear" w:color="auto" w:fill="FCFCFD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DD2026B">
            <w:pPr>
              <w:spacing w:before="0" w:after="0" w:line="276" w:lineRule="auto"/>
              <w:jc w:val="left"/>
            </w:pPr>
            <w:r>
              <w:rPr>
                <w:rFonts w:ascii="Arial" w:hAnsi="Arial" w:eastAsia="微软雅黑" w:cs="Arial"/>
                <w:b w:val="0"/>
                <w:color w:val="22252A"/>
                <w:sz w:val="20"/>
              </w:rPr>
              <w:t>1–5 µm</w:t>
            </w:r>
          </w:p>
        </w:tc>
      </w:tr>
      <w:tr w14:paraId="31E9CC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700" w:type="dxa"/>
            <w:tcBorders>
              <w:top w:val="single" w:color="D9DCE1" w:sz="6" w:space="0"/>
              <w:left w:val="single" w:color="D9DCE1" w:sz="6" w:space="0"/>
              <w:bottom w:val="single" w:color="D9DCE1" w:sz="6" w:space="0"/>
              <w:right w:val="single" w:color="D9DCE1" w:sz="6" w:space="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1C9752D">
            <w:pPr>
              <w:spacing w:before="0" w:after="0" w:line="276" w:lineRule="auto"/>
              <w:jc w:val="left"/>
            </w:pPr>
            <w:r>
              <w:rPr>
                <w:rFonts w:ascii="Arial" w:hAnsi="Arial" w:eastAsia="微软雅黑" w:cs="Arial"/>
                <w:b/>
                <w:color w:val="7A1024"/>
                <w:sz w:val="20"/>
              </w:rPr>
              <w:t>产品形式</w:t>
            </w:r>
          </w:p>
        </w:tc>
        <w:tc>
          <w:tcPr>
            <w:tcW w:w="6660" w:type="dxa"/>
            <w:tcBorders>
              <w:top w:val="single" w:color="D9DCE1" w:sz="6" w:space="0"/>
              <w:left w:val="single" w:color="D9DCE1" w:sz="6" w:space="0"/>
              <w:bottom w:val="single" w:color="D9DCE1" w:sz="6" w:space="0"/>
              <w:right w:val="single" w:color="D9DCE1" w:sz="6" w:space="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57DE7B6">
            <w:pPr>
              <w:spacing w:before="0" w:after="0" w:line="276" w:lineRule="auto"/>
              <w:jc w:val="left"/>
            </w:pPr>
            <w:r>
              <w:rPr>
                <w:rFonts w:ascii="Arial" w:hAnsi="Arial" w:eastAsia="微软雅黑" w:cs="Arial"/>
                <w:b w:val="0"/>
                <w:color w:val="22252A"/>
                <w:sz w:val="20"/>
              </w:rPr>
              <w:t>40%（v/v）磁珠悬液（slurry）</w:t>
            </w:r>
          </w:p>
        </w:tc>
      </w:tr>
      <w:tr w14:paraId="157F49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700" w:type="dxa"/>
            <w:tcBorders>
              <w:top w:val="single" w:color="D9DCE1" w:sz="6" w:space="0"/>
              <w:left w:val="single" w:color="D9DCE1" w:sz="6" w:space="0"/>
              <w:bottom w:val="single" w:color="D9DCE1" w:sz="6" w:space="0"/>
              <w:right w:val="single" w:color="D9DCE1" w:sz="6" w:space="0"/>
            </w:tcBorders>
            <w:shd w:val="clear" w:color="auto" w:fill="FCFCFD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FC9412A">
            <w:pPr>
              <w:spacing w:before="0" w:after="0" w:line="276" w:lineRule="auto"/>
              <w:jc w:val="left"/>
            </w:pPr>
            <w:r>
              <w:rPr>
                <w:rFonts w:ascii="Arial" w:hAnsi="Arial" w:eastAsia="微软雅黑" w:cs="Arial"/>
                <w:b/>
                <w:color w:val="7A1024"/>
                <w:sz w:val="20"/>
              </w:rPr>
              <w:t>蛋白结合载量</w:t>
            </w:r>
          </w:p>
        </w:tc>
        <w:tc>
          <w:tcPr>
            <w:tcW w:w="6660" w:type="dxa"/>
            <w:tcBorders>
              <w:top w:val="single" w:color="D9DCE1" w:sz="6" w:space="0"/>
              <w:left w:val="single" w:color="D9DCE1" w:sz="6" w:space="0"/>
              <w:bottom w:val="single" w:color="D9DCE1" w:sz="6" w:space="0"/>
              <w:right w:val="single" w:color="D9DCE1" w:sz="6" w:space="0"/>
            </w:tcBorders>
            <w:shd w:val="clear" w:color="auto" w:fill="FCFCFD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3B4DA07">
            <w:pPr>
              <w:spacing w:before="0" w:after="0" w:line="276" w:lineRule="auto"/>
              <w:jc w:val="left"/>
            </w:pPr>
            <w:r>
              <w:rPr>
                <w:rFonts w:ascii="Arial" w:hAnsi="Arial" w:eastAsia="微软雅黑" w:cs="Arial"/>
                <w:b w:val="0"/>
                <w:color w:val="22252A"/>
                <w:sz w:val="20"/>
              </w:rPr>
              <w:t>&gt;1 mg HA 标签蛋白/mL 沉降磁珠（标称值）</w:t>
            </w:r>
          </w:p>
        </w:tc>
      </w:tr>
      <w:tr w14:paraId="4D4539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700" w:type="dxa"/>
            <w:tcBorders>
              <w:top w:val="single" w:color="D9DCE1" w:sz="6" w:space="0"/>
              <w:left w:val="single" w:color="D9DCE1" w:sz="6" w:space="0"/>
              <w:bottom w:val="single" w:color="D9DCE1" w:sz="6" w:space="0"/>
              <w:right w:val="single" w:color="D9DCE1" w:sz="6" w:space="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7D436FA">
            <w:pPr>
              <w:spacing w:before="0" w:after="0" w:line="276" w:lineRule="auto"/>
              <w:jc w:val="left"/>
            </w:pPr>
            <w:r>
              <w:rPr>
                <w:rFonts w:ascii="Arial" w:hAnsi="Arial" w:eastAsia="微软雅黑" w:cs="Arial"/>
                <w:b/>
                <w:color w:val="7A1024"/>
                <w:sz w:val="20"/>
              </w:rPr>
              <w:t>单次推荐用量</w:t>
            </w:r>
          </w:p>
        </w:tc>
        <w:tc>
          <w:tcPr>
            <w:tcW w:w="6660" w:type="dxa"/>
            <w:tcBorders>
              <w:top w:val="single" w:color="D9DCE1" w:sz="6" w:space="0"/>
              <w:left w:val="single" w:color="D9DCE1" w:sz="6" w:space="0"/>
              <w:bottom w:val="single" w:color="D9DCE1" w:sz="6" w:space="0"/>
              <w:right w:val="single" w:color="D9DCE1" w:sz="6" w:space="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DEAF8E6">
            <w:pPr>
              <w:spacing w:before="0" w:after="0" w:line="276" w:lineRule="auto"/>
              <w:jc w:val="left"/>
            </w:pPr>
            <w:r>
              <w:rPr>
                <w:rFonts w:ascii="Arial" w:hAnsi="Arial" w:eastAsia="微软雅黑" w:cs="Arial"/>
                <w:b w:val="0"/>
                <w:color w:val="22252A"/>
                <w:sz w:val="20"/>
              </w:rPr>
              <w:t>50 µL 磁珠悬液，即 20 µL 沉降磁珠</w:t>
            </w:r>
          </w:p>
        </w:tc>
      </w:tr>
      <w:tr w14:paraId="474784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700" w:type="dxa"/>
            <w:tcBorders>
              <w:top w:val="single" w:color="D9DCE1" w:sz="6" w:space="0"/>
              <w:left w:val="single" w:color="D9DCE1" w:sz="6" w:space="0"/>
              <w:bottom w:val="single" w:color="D9DCE1" w:sz="6" w:space="0"/>
              <w:right w:val="single" w:color="D9DCE1" w:sz="6" w:space="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239A92F">
            <w:pPr>
              <w:spacing w:before="0" w:after="0" w:line="276" w:lineRule="auto"/>
              <w:jc w:val="left"/>
            </w:pPr>
            <w:r>
              <w:rPr>
                <w:rFonts w:ascii="Arial" w:hAnsi="Arial" w:eastAsia="微软雅黑" w:cs="Arial"/>
                <w:b/>
                <w:color w:val="7A1024"/>
                <w:sz w:val="20"/>
              </w:rPr>
              <w:t>推荐样品量</w:t>
            </w:r>
          </w:p>
        </w:tc>
        <w:tc>
          <w:tcPr>
            <w:tcW w:w="6660" w:type="dxa"/>
            <w:tcBorders>
              <w:top w:val="single" w:color="D9DCE1" w:sz="6" w:space="0"/>
              <w:left w:val="single" w:color="D9DCE1" w:sz="6" w:space="0"/>
              <w:bottom w:val="single" w:color="D9DCE1" w:sz="6" w:space="0"/>
              <w:right w:val="single" w:color="D9DCE1" w:sz="6" w:space="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5D7ABD2">
            <w:pPr>
              <w:spacing w:before="0" w:after="0" w:line="276" w:lineRule="auto"/>
              <w:jc w:val="left"/>
            </w:pPr>
            <w:r>
              <w:rPr>
                <w:rFonts w:ascii="Arial" w:hAnsi="Arial" w:eastAsia="微软雅黑" w:cs="Arial"/>
                <w:b w:val="0"/>
                <w:color w:val="22252A"/>
                <w:sz w:val="20"/>
              </w:rPr>
              <w:t>起始条件：200–1,000 µL 澄清裂解液；总蛋白约 0.5–1.0 mg</w:t>
            </w:r>
          </w:p>
        </w:tc>
      </w:tr>
      <w:tr w14:paraId="10572E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700" w:type="dxa"/>
            <w:tcBorders>
              <w:top w:val="single" w:color="D9DCE1" w:sz="6" w:space="0"/>
              <w:left w:val="single" w:color="D9DCE1" w:sz="6" w:space="0"/>
              <w:bottom w:val="single" w:color="D9DCE1" w:sz="6" w:space="0"/>
              <w:right w:val="single" w:color="D9DCE1" w:sz="6" w:space="0"/>
            </w:tcBorders>
            <w:shd w:val="clear" w:color="auto" w:fill="FCFCFD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951AA34">
            <w:pPr>
              <w:spacing w:before="0" w:after="0" w:line="276" w:lineRule="auto"/>
              <w:jc w:val="left"/>
            </w:pPr>
            <w:r>
              <w:rPr>
                <w:rFonts w:ascii="Arial" w:hAnsi="Arial" w:eastAsia="微软雅黑" w:cs="Arial"/>
                <w:b/>
                <w:color w:val="7A1024"/>
                <w:sz w:val="20"/>
              </w:rPr>
              <w:t>主要应用</w:t>
            </w:r>
          </w:p>
        </w:tc>
        <w:tc>
          <w:tcPr>
            <w:tcW w:w="6660" w:type="dxa"/>
            <w:tcBorders>
              <w:top w:val="single" w:color="D9DCE1" w:sz="6" w:space="0"/>
              <w:left w:val="single" w:color="D9DCE1" w:sz="6" w:space="0"/>
              <w:bottom w:val="single" w:color="D9DCE1" w:sz="6" w:space="0"/>
              <w:right w:val="single" w:color="D9DCE1" w:sz="6" w:space="0"/>
            </w:tcBorders>
            <w:shd w:val="clear" w:color="auto" w:fill="FCFCFD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D128908">
            <w:pPr>
              <w:spacing w:before="0" w:after="0" w:line="276" w:lineRule="auto"/>
              <w:jc w:val="left"/>
            </w:pPr>
            <w:r>
              <w:rPr>
                <w:rFonts w:ascii="Arial" w:hAnsi="Arial" w:eastAsia="微软雅黑" w:cs="Arial"/>
                <w:b w:val="0"/>
                <w:color w:val="22252A"/>
                <w:sz w:val="20"/>
              </w:rPr>
              <w:t>IP、Co-IP、HA 标签蛋白富集和小规模亲和纯化</w:t>
            </w:r>
          </w:p>
        </w:tc>
      </w:tr>
      <w:tr w14:paraId="32FEB2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700" w:type="dxa"/>
            <w:tcBorders>
              <w:top w:val="single" w:color="D9DCE1" w:sz="6" w:space="0"/>
              <w:left w:val="single" w:color="D9DCE1" w:sz="6" w:space="0"/>
              <w:bottom w:val="single" w:color="D9DCE1" w:sz="6" w:space="0"/>
              <w:right w:val="single" w:color="D9DCE1" w:sz="6" w:space="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0C2FEEA">
            <w:pPr>
              <w:spacing w:before="0" w:after="0" w:line="276" w:lineRule="auto"/>
              <w:jc w:val="left"/>
            </w:pPr>
            <w:r>
              <w:rPr>
                <w:rFonts w:ascii="Arial" w:hAnsi="Arial" w:eastAsia="微软雅黑" w:cs="Arial"/>
                <w:b/>
                <w:color w:val="7A1024"/>
                <w:sz w:val="20"/>
              </w:rPr>
              <w:t>保存</w:t>
            </w:r>
          </w:p>
        </w:tc>
        <w:tc>
          <w:tcPr>
            <w:tcW w:w="6660" w:type="dxa"/>
            <w:tcBorders>
              <w:top w:val="single" w:color="D9DCE1" w:sz="6" w:space="0"/>
              <w:left w:val="single" w:color="D9DCE1" w:sz="6" w:space="0"/>
              <w:bottom w:val="single" w:color="D9DCE1" w:sz="6" w:space="0"/>
              <w:right w:val="single" w:color="D9DCE1" w:sz="6" w:space="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7ABC5A7">
            <w:pPr>
              <w:spacing w:before="0" w:after="0" w:line="276" w:lineRule="auto"/>
              <w:jc w:val="left"/>
            </w:pPr>
            <w:r>
              <w:rPr>
                <w:rFonts w:ascii="Arial" w:hAnsi="Arial" w:eastAsia="微软雅黑" w:cs="Arial"/>
                <w:b w:val="0"/>
                <w:color w:val="22252A"/>
                <w:sz w:val="20"/>
              </w:rPr>
              <w:t>2–8°C；禁止冷冻、干燥或长时间置于磁场中</w:t>
            </w:r>
          </w:p>
        </w:tc>
      </w:tr>
    </w:tbl>
    <w:p w14:paraId="7F9675A2">
      <w:pPr>
        <w:pStyle w:val="4"/>
        <w:keepNext w:val="0"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b/>
          <w:bCs/>
        </w:rPr>
      </w:pPr>
      <w:r>
        <w:rPr>
          <w:b/>
          <w:bCs/>
        </w:rPr>
        <w:t>包装规格</w:t>
      </w:r>
    </w:p>
    <w:tbl>
      <w:tblPr>
        <w:tblStyle w:val="32"/>
        <w:tblW w:w="9360" w:type="dxa"/>
        <w:tblInd w:w="120" w:type="dxa"/>
        <w:tblBorders>
          <w:top w:val="single" w:color="AAB4BE" w:sz="4" w:space="0"/>
          <w:left w:val="single" w:color="AAB4BE" w:sz="4" w:space="0"/>
          <w:bottom w:val="single" w:color="AAB4BE" w:sz="4" w:space="0"/>
          <w:right w:val="single" w:color="AAB4BE" w:sz="4" w:space="0"/>
          <w:insideH w:val="single" w:color="AAB4BE" w:sz="4" w:space="0"/>
          <w:insideV w:val="single" w:color="AAB4BE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00"/>
        <w:gridCol w:w="2500"/>
        <w:gridCol w:w="3060"/>
      </w:tblGrid>
      <w:tr w14:paraId="3FB2623A">
        <w:tblPrEx>
          <w:tblBorders>
            <w:top w:val="single" w:color="AAB4BE" w:sz="4" w:space="0"/>
            <w:left w:val="single" w:color="AAB4BE" w:sz="4" w:space="0"/>
            <w:bottom w:val="single" w:color="AAB4BE" w:sz="4" w:space="0"/>
            <w:right w:val="single" w:color="AAB4BE" w:sz="4" w:space="0"/>
            <w:insideH w:val="single" w:color="AAB4BE" w:sz="4" w:space="0"/>
            <w:insideV w:val="single" w:color="AAB4BE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</w:trPr>
        <w:tc>
          <w:tcPr>
            <w:tcW w:w="3800" w:type="dxa"/>
            <w:shd w:val="clear" w:color="auto" w:fill="E8EEF5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A2BC9B4">
            <w:pPr>
              <w:keepLines/>
              <w:widowControl/>
              <w:spacing w:before="0" w:after="0" w:line="269" w:lineRule="auto"/>
              <w:jc w:val="left"/>
              <w:rPr>
                <w:rFonts w:hint="default" w:ascii="Times New Roman" w:hAnsi="Times New Roman" w:eastAsia="微软雅黑" w:cs="Times New Roman"/>
                <w:b/>
                <w:color w:val="20242B"/>
                <w:sz w:val="19"/>
                <w:lang w:val="zh-CN" w:eastAsia="zh-CN"/>
              </w:rPr>
            </w:pPr>
            <w:r>
              <w:rPr>
                <w:rFonts w:hint="default" w:ascii="Times New Roman" w:hAnsi="Times New Roman" w:eastAsia="微软雅黑" w:cs="Times New Roman"/>
                <w:b/>
                <w:color w:val="20242B"/>
                <w:sz w:val="19"/>
                <w:lang w:val="zh-CN" w:eastAsia="zh-CN"/>
              </w:rPr>
              <w:t>货号</w:t>
            </w:r>
          </w:p>
        </w:tc>
        <w:tc>
          <w:tcPr>
            <w:tcW w:w="2500" w:type="dxa"/>
            <w:shd w:val="clear" w:color="auto" w:fill="E8EEF5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CE5CFFE">
            <w:pPr>
              <w:keepLines/>
              <w:widowControl/>
              <w:spacing w:before="0" w:after="0" w:line="269" w:lineRule="auto"/>
              <w:jc w:val="left"/>
              <w:rPr>
                <w:rFonts w:hint="default" w:ascii="Times New Roman" w:hAnsi="Times New Roman" w:eastAsia="微软雅黑" w:cs="Times New Roman"/>
                <w:b/>
                <w:color w:val="20242B"/>
                <w:sz w:val="19"/>
                <w:lang w:val="zh-CN" w:eastAsia="zh-CN"/>
              </w:rPr>
            </w:pPr>
            <w:r>
              <w:rPr>
                <w:rFonts w:hint="default" w:ascii="Times New Roman" w:hAnsi="Times New Roman" w:eastAsia="微软雅黑" w:cs="Times New Roman"/>
                <w:b/>
                <w:color w:val="20242B"/>
                <w:sz w:val="19"/>
                <w:lang w:val="zh-CN" w:eastAsia="zh-CN"/>
              </w:rPr>
              <w:t>规格（</w:t>
            </w:r>
            <w:r>
              <w:rPr>
                <w:rFonts w:hint="default" w:ascii="Times New Roman" w:hAnsi="Times New Roman" w:cs="Times New Roman"/>
                <w:b/>
                <w:color w:val="20242B"/>
                <w:sz w:val="19"/>
                <w:lang w:val="en-US" w:eastAsia="zh-CN"/>
              </w:rPr>
              <w:t>40</w:t>
            </w:r>
            <w:r>
              <w:rPr>
                <w:rFonts w:hint="default" w:ascii="Times New Roman" w:hAnsi="Times New Roman" w:eastAsia="微软雅黑" w:cs="Times New Roman"/>
                <w:b/>
                <w:color w:val="20242B"/>
                <w:sz w:val="19"/>
                <w:lang w:val="zh-CN" w:eastAsia="zh-CN"/>
              </w:rPr>
              <w:t>% slurry）</w:t>
            </w:r>
          </w:p>
        </w:tc>
        <w:tc>
          <w:tcPr>
            <w:tcW w:w="3060" w:type="dxa"/>
            <w:shd w:val="clear" w:color="auto" w:fill="E8EEF5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768EF54">
            <w:pPr>
              <w:keepLines/>
              <w:widowControl/>
              <w:spacing w:before="0" w:after="0" w:line="269" w:lineRule="auto"/>
              <w:jc w:val="left"/>
              <w:rPr>
                <w:rFonts w:hint="default" w:ascii="Times New Roman" w:hAnsi="Times New Roman" w:eastAsia="微软雅黑" w:cs="Times New Roman"/>
                <w:b/>
                <w:color w:val="20242B"/>
                <w:sz w:val="19"/>
                <w:lang w:val="zh-CN" w:eastAsia="zh-CN"/>
              </w:rPr>
            </w:pPr>
            <w:r>
              <w:rPr>
                <w:rFonts w:hint="default" w:ascii="Times New Roman" w:hAnsi="Times New Roman" w:eastAsia="微软雅黑" w:cs="Times New Roman"/>
                <w:b/>
                <w:color w:val="20242B"/>
                <w:sz w:val="19"/>
                <w:lang w:val="zh-CN" w:eastAsia="zh-CN"/>
              </w:rPr>
              <w:t>参考反应数*</w:t>
            </w:r>
          </w:p>
        </w:tc>
      </w:tr>
      <w:tr w14:paraId="25B18505">
        <w:tblPrEx>
          <w:tblBorders>
            <w:top w:val="single" w:color="AAB4BE" w:sz="4" w:space="0"/>
            <w:left w:val="single" w:color="AAB4BE" w:sz="4" w:space="0"/>
            <w:bottom w:val="single" w:color="AAB4BE" w:sz="4" w:space="0"/>
            <w:right w:val="single" w:color="AAB4BE" w:sz="4" w:space="0"/>
            <w:insideH w:val="single" w:color="AAB4BE" w:sz="4" w:space="0"/>
            <w:insideV w:val="single" w:color="AAB4BE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3800" w:type="dxa"/>
          </w:tcPr>
          <w:p w14:paraId="396F1673">
            <w:pPr>
              <w:keepLines/>
              <w:widowControl/>
              <w:spacing w:before="0" w:after="0" w:line="269" w:lineRule="auto"/>
              <w:jc w:val="left"/>
              <w:rPr>
                <w:rFonts w:hint="default" w:ascii="Times New Roman" w:hAnsi="Times New Roman" w:eastAsia="微软雅黑" w:cs="Times New Roman"/>
                <w:b/>
                <w:color w:val="20242B"/>
                <w:sz w:val="19"/>
                <w:lang w:val="zh-CN" w:eastAsia="zh-CN"/>
              </w:rPr>
            </w:pPr>
            <w:r>
              <w:rPr>
                <w:rFonts w:hint="default" w:ascii="Times New Roman" w:hAnsi="Times New Roman" w:eastAsia="微软雅黑" w:cs="Times New Roman"/>
                <w:b/>
                <w:color w:val="20242B"/>
                <w:sz w:val="19"/>
                <w:lang w:val="zh-CN" w:eastAsia="zh-CN"/>
              </w:rPr>
              <w:t>HXL-</w:t>
            </w:r>
            <w:r>
              <w:rPr>
                <w:rFonts w:hint="default" w:ascii="Times New Roman" w:hAnsi="Times New Roman" w:cs="Times New Roman"/>
                <w:b/>
                <w:color w:val="20242B"/>
                <w:sz w:val="19"/>
                <w:lang w:val="en-US" w:eastAsia="zh-CN"/>
              </w:rPr>
              <w:t>HA</w:t>
            </w:r>
            <w:r>
              <w:rPr>
                <w:rFonts w:hint="default" w:ascii="Times New Roman" w:hAnsi="Times New Roman" w:eastAsia="微软雅黑" w:cs="Times New Roman"/>
                <w:b/>
                <w:color w:val="20242B"/>
                <w:sz w:val="19"/>
                <w:lang w:val="zh-CN" w:eastAsia="zh-CN"/>
              </w:rPr>
              <w:t>-mag-agro-1</w:t>
            </w:r>
          </w:p>
        </w:tc>
        <w:tc>
          <w:tcPr>
            <w:tcW w:w="2500" w:type="dxa"/>
          </w:tcPr>
          <w:p w14:paraId="75BD0946">
            <w:pPr>
              <w:keepLines/>
              <w:widowControl/>
              <w:spacing w:before="0" w:after="0" w:line="269" w:lineRule="auto"/>
              <w:jc w:val="left"/>
              <w:rPr>
                <w:rFonts w:hint="default" w:ascii="Times New Roman" w:hAnsi="Times New Roman" w:eastAsia="微软雅黑" w:cs="Times New Roman"/>
                <w:b/>
                <w:color w:val="20242B"/>
                <w:sz w:val="19"/>
                <w:lang w:val="zh-CN" w:eastAsia="zh-CN"/>
              </w:rPr>
            </w:pPr>
            <w:r>
              <w:rPr>
                <w:rFonts w:hint="default" w:ascii="Times New Roman" w:hAnsi="Times New Roman" w:eastAsia="微软雅黑" w:cs="Times New Roman"/>
                <w:b/>
                <w:color w:val="20242B"/>
                <w:sz w:val="19"/>
                <w:lang w:val="zh-CN" w:eastAsia="zh-CN"/>
              </w:rPr>
              <w:t>1 mL</w:t>
            </w:r>
          </w:p>
        </w:tc>
        <w:tc>
          <w:tcPr>
            <w:tcW w:w="3060" w:type="dxa"/>
          </w:tcPr>
          <w:p w14:paraId="7019B7EA">
            <w:pPr>
              <w:keepLines/>
              <w:widowControl/>
              <w:spacing w:before="0" w:after="0" w:line="269" w:lineRule="auto"/>
              <w:jc w:val="left"/>
              <w:rPr>
                <w:rFonts w:hint="default" w:ascii="Times New Roman" w:hAnsi="Times New Roman" w:eastAsia="微软雅黑" w:cs="Times New Roman"/>
                <w:b/>
                <w:color w:val="20242B"/>
                <w:sz w:val="19"/>
                <w:lang w:val="zh-CN" w:eastAsia="zh-CN"/>
              </w:rPr>
            </w:pPr>
            <w:r>
              <w:rPr>
                <w:rFonts w:hint="default" w:ascii="Times New Roman" w:hAnsi="Times New Roman" w:eastAsia="微软雅黑" w:cs="Times New Roman"/>
                <w:b/>
                <w:color w:val="20242B"/>
                <w:sz w:val="19"/>
                <w:lang w:val="zh-CN" w:eastAsia="zh-CN"/>
              </w:rPr>
              <w:t>约 20 次</w:t>
            </w:r>
          </w:p>
        </w:tc>
      </w:tr>
      <w:tr w14:paraId="0E6D0D91">
        <w:tblPrEx>
          <w:tblBorders>
            <w:top w:val="single" w:color="AAB4BE" w:sz="4" w:space="0"/>
            <w:left w:val="single" w:color="AAB4BE" w:sz="4" w:space="0"/>
            <w:bottom w:val="single" w:color="AAB4BE" w:sz="4" w:space="0"/>
            <w:right w:val="single" w:color="AAB4BE" w:sz="4" w:space="0"/>
            <w:insideH w:val="single" w:color="AAB4BE" w:sz="4" w:space="0"/>
            <w:insideV w:val="single" w:color="AAB4BE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3800" w:type="dxa"/>
            <w:shd w:val="clear" w:color="auto" w:fill="F7F9FB"/>
          </w:tcPr>
          <w:p w14:paraId="2648D1C8">
            <w:pPr>
              <w:keepLines/>
              <w:widowControl/>
              <w:spacing w:before="0" w:after="0" w:line="269" w:lineRule="auto"/>
              <w:jc w:val="left"/>
              <w:rPr>
                <w:rFonts w:hint="default" w:ascii="Times New Roman" w:hAnsi="Times New Roman" w:eastAsia="微软雅黑" w:cs="Times New Roman"/>
                <w:b/>
                <w:color w:val="20242B"/>
                <w:sz w:val="19"/>
                <w:lang w:val="zh-CN" w:eastAsia="zh-CN"/>
              </w:rPr>
            </w:pPr>
            <w:r>
              <w:rPr>
                <w:rFonts w:hint="default" w:ascii="Times New Roman" w:hAnsi="Times New Roman" w:eastAsia="微软雅黑" w:cs="Times New Roman"/>
                <w:b/>
                <w:color w:val="20242B"/>
                <w:sz w:val="19"/>
                <w:lang w:val="zh-CN" w:eastAsia="zh-CN"/>
              </w:rPr>
              <w:t>HXL-</w:t>
            </w:r>
            <w:r>
              <w:rPr>
                <w:rFonts w:hint="default" w:ascii="Times New Roman" w:hAnsi="Times New Roman" w:cs="Times New Roman"/>
                <w:b/>
                <w:color w:val="20242B"/>
                <w:sz w:val="19"/>
                <w:lang w:val="en-US" w:eastAsia="zh-CN"/>
              </w:rPr>
              <w:t>HA</w:t>
            </w:r>
            <w:r>
              <w:rPr>
                <w:rFonts w:hint="default" w:ascii="Times New Roman" w:hAnsi="Times New Roman" w:eastAsia="微软雅黑" w:cs="Times New Roman"/>
                <w:b/>
                <w:color w:val="20242B"/>
                <w:sz w:val="19"/>
                <w:lang w:val="zh-CN" w:eastAsia="zh-CN"/>
              </w:rPr>
              <w:t>-mag-agro-4</w:t>
            </w:r>
          </w:p>
        </w:tc>
        <w:tc>
          <w:tcPr>
            <w:tcW w:w="2500" w:type="dxa"/>
            <w:shd w:val="clear" w:color="auto" w:fill="F7F9FB"/>
          </w:tcPr>
          <w:p w14:paraId="52A4ABA3">
            <w:pPr>
              <w:keepLines/>
              <w:widowControl/>
              <w:spacing w:before="0" w:after="0" w:line="269" w:lineRule="auto"/>
              <w:jc w:val="left"/>
              <w:rPr>
                <w:rFonts w:hint="default" w:ascii="Times New Roman" w:hAnsi="Times New Roman" w:eastAsia="微软雅黑" w:cs="Times New Roman"/>
                <w:b/>
                <w:color w:val="20242B"/>
                <w:sz w:val="19"/>
                <w:lang w:val="zh-CN" w:eastAsia="zh-CN"/>
              </w:rPr>
            </w:pPr>
            <w:r>
              <w:rPr>
                <w:rFonts w:hint="default" w:ascii="Times New Roman" w:hAnsi="Times New Roman" w:eastAsia="微软雅黑" w:cs="Times New Roman"/>
                <w:b/>
                <w:color w:val="20242B"/>
                <w:sz w:val="19"/>
                <w:lang w:val="zh-CN" w:eastAsia="zh-CN"/>
              </w:rPr>
              <w:t>4 mL</w:t>
            </w:r>
          </w:p>
        </w:tc>
        <w:tc>
          <w:tcPr>
            <w:tcW w:w="3060" w:type="dxa"/>
            <w:shd w:val="clear" w:color="auto" w:fill="F7F9FB"/>
          </w:tcPr>
          <w:p w14:paraId="12597F15">
            <w:pPr>
              <w:keepLines/>
              <w:widowControl/>
              <w:spacing w:before="0" w:after="0" w:line="269" w:lineRule="auto"/>
              <w:jc w:val="left"/>
              <w:rPr>
                <w:rFonts w:hint="default" w:ascii="Times New Roman" w:hAnsi="Times New Roman" w:eastAsia="微软雅黑" w:cs="Times New Roman"/>
                <w:b/>
                <w:color w:val="20242B"/>
                <w:sz w:val="19"/>
                <w:lang w:val="zh-CN" w:eastAsia="zh-CN"/>
              </w:rPr>
            </w:pPr>
            <w:r>
              <w:rPr>
                <w:rFonts w:hint="default" w:ascii="Times New Roman" w:hAnsi="Times New Roman" w:eastAsia="微软雅黑" w:cs="Times New Roman"/>
                <w:b/>
                <w:color w:val="20242B"/>
                <w:sz w:val="19"/>
                <w:lang w:val="zh-CN" w:eastAsia="zh-CN"/>
              </w:rPr>
              <w:t>约 80 次</w:t>
            </w:r>
          </w:p>
        </w:tc>
      </w:tr>
      <w:tr w14:paraId="620102B7">
        <w:tblPrEx>
          <w:tblBorders>
            <w:top w:val="single" w:color="AAB4BE" w:sz="4" w:space="0"/>
            <w:left w:val="single" w:color="AAB4BE" w:sz="4" w:space="0"/>
            <w:bottom w:val="single" w:color="AAB4BE" w:sz="4" w:space="0"/>
            <w:right w:val="single" w:color="AAB4BE" w:sz="4" w:space="0"/>
            <w:insideH w:val="single" w:color="AAB4BE" w:sz="4" w:space="0"/>
            <w:insideV w:val="single" w:color="AAB4BE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3800" w:type="dxa"/>
          </w:tcPr>
          <w:p w14:paraId="08AE2B5A">
            <w:pPr>
              <w:keepLines/>
              <w:widowControl/>
              <w:spacing w:before="0" w:after="0" w:line="269" w:lineRule="auto"/>
              <w:jc w:val="left"/>
              <w:rPr>
                <w:rFonts w:hint="default" w:ascii="Times New Roman" w:hAnsi="Times New Roman" w:eastAsia="微软雅黑" w:cs="Times New Roman"/>
                <w:b/>
                <w:color w:val="20242B"/>
                <w:sz w:val="19"/>
                <w:lang w:val="zh-CN" w:eastAsia="zh-CN"/>
              </w:rPr>
            </w:pPr>
            <w:r>
              <w:rPr>
                <w:rFonts w:hint="default" w:ascii="Times New Roman" w:hAnsi="Times New Roman" w:eastAsia="微软雅黑" w:cs="Times New Roman"/>
                <w:b/>
                <w:color w:val="20242B"/>
                <w:sz w:val="19"/>
                <w:lang w:val="zh-CN" w:eastAsia="zh-CN"/>
              </w:rPr>
              <w:t>HXL-</w:t>
            </w:r>
            <w:r>
              <w:rPr>
                <w:rFonts w:hint="default" w:ascii="Times New Roman" w:hAnsi="Times New Roman" w:cs="Times New Roman"/>
                <w:b/>
                <w:color w:val="20242B"/>
                <w:sz w:val="19"/>
                <w:lang w:val="en-US" w:eastAsia="zh-CN"/>
              </w:rPr>
              <w:t>HA</w:t>
            </w:r>
            <w:r>
              <w:rPr>
                <w:rFonts w:hint="default" w:ascii="Times New Roman" w:hAnsi="Times New Roman" w:eastAsia="微软雅黑" w:cs="Times New Roman"/>
                <w:b/>
                <w:color w:val="20242B"/>
                <w:sz w:val="19"/>
                <w:lang w:val="zh-CN" w:eastAsia="zh-CN"/>
              </w:rPr>
              <w:t>-mag-agro-20</w:t>
            </w:r>
          </w:p>
        </w:tc>
        <w:tc>
          <w:tcPr>
            <w:tcW w:w="2500" w:type="dxa"/>
          </w:tcPr>
          <w:p w14:paraId="1CC1CD9A">
            <w:pPr>
              <w:keepLines/>
              <w:widowControl/>
              <w:spacing w:before="0" w:after="0" w:line="269" w:lineRule="auto"/>
              <w:jc w:val="left"/>
              <w:rPr>
                <w:rFonts w:hint="default" w:ascii="Times New Roman" w:hAnsi="Times New Roman" w:eastAsia="微软雅黑" w:cs="Times New Roman"/>
                <w:b/>
                <w:color w:val="20242B"/>
                <w:sz w:val="19"/>
                <w:lang w:val="zh-CN" w:eastAsia="zh-CN"/>
              </w:rPr>
            </w:pPr>
            <w:r>
              <w:rPr>
                <w:rFonts w:hint="default" w:ascii="Times New Roman" w:hAnsi="Times New Roman" w:eastAsia="微软雅黑" w:cs="Times New Roman"/>
                <w:b/>
                <w:color w:val="20242B"/>
                <w:sz w:val="19"/>
                <w:lang w:val="zh-CN" w:eastAsia="zh-CN"/>
              </w:rPr>
              <w:t>20 mL</w:t>
            </w:r>
          </w:p>
        </w:tc>
        <w:tc>
          <w:tcPr>
            <w:tcW w:w="3060" w:type="dxa"/>
          </w:tcPr>
          <w:p w14:paraId="51F93F5F">
            <w:pPr>
              <w:keepLines/>
              <w:widowControl/>
              <w:spacing w:before="0" w:after="0" w:line="269" w:lineRule="auto"/>
              <w:jc w:val="left"/>
              <w:rPr>
                <w:rFonts w:hint="default" w:ascii="Times New Roman" w:hAnsi="Times New Roman" w:eastAsia="微软雅黑" w:cs="Times New Roman"/>
                <w:b/>
                <w:color w:val="20242B"/>
                <w:sz w:val="19"/>
                <w:lang w:val="zh-CN" w:eastAsia="zh-CN"/>
              </w:rPr>
            </w:pPr>
            <w:r>
              <w:rPr>
                <w:rFonts w:hint="default" w:ascii="Times New Roman" w:hAnsi="Times New Roman" w:eastAsia="微软雅黑" w:cs="Times New Roman"/>
                <w:b/>
                <w:color w:val="20242B"/>
                <w:sz w:val="19"/>
                <w:lang w:val="zh-CN" w:eastAsia="zh-CN"/>
              </w:rPr>
              <w:t>约 400 次</w:t>
            </w:r>
          </w:p>
        </w:tc>
      </w:tr>
    </w:tbl>
    <w:p w14:paraId="54B6DF15">
      <w:pPr>
        <w:pStyle w:val="3"/>
        <w:keepNext/>
        <w:keepLines/>
      </w:pPr>
      <w:r>
        <w:rPr>
          <w:rFonts w:hint="eastAsia" w:ascii="Arial" w:hAnsi="Arial" w:eastAsia="微软雅黑" w:cs="Arial"/>
          <w:b/>
          <w:color w:val="B31B34"/>
          <w:sz w:val="32"/>
          <w:lang w:val="en-US" w:eastAsia="zh-CN"/>
        </w:rPr>
        <w:t>3.</w:t>
      </w:r>
      <w:r>
        <w:rPr>
          <w:rFonts w:ascii="Arial" w:hAnsi="Arial" w:eastAsia="微软雅黑" w:cs="Arial"/>
          <w:b/>
          <w:color w:val="B31B34"/>
          <w:sz w:val="32"/>
        </w:rPr>
        <w:t>使用前须知</w:t>
      </w:r>
      <w:bookmarkStart w:id="0" w:name="_GoBack"/>
      <w:bookmarkEnd w:id="0"/>
    </w:p>
    <w:p w14:paraId="74CEB165">
      <w:pPr>
        <w:pStyle w:val="143"/>
        <w:keepLines/>
        <w:numPr>
          <w:ilvl w:val="0"/>
          <w:numId w:val="7"/>
        </w:numPr>
        <w:spacing w:before="0" w:after="80" w:line="300" w:lineRule="auto"/>
      </w:pPr>
      <w:r>
        <w:rPr>
          <w:rFonts w:ascii="Arial" w:hAnsi="Arial" w:eastAsia="微软雅黑" w:cs="Arial"/>
          <w:color w:val="22252A"/>
          <w:sz w:val="22"/>
        </w:rPr>
        <w:t>取样前轻柔颠倒或旋转原瓶，使磁珠完全均一悬浮；不要仅从上清层吸取。建议使用宽口枪头或剪口枪头。</w:t>
      </w:r>
    </w:p>
    <w:p w14:paraId="3E51F962">
      <w:pPr>
        <w:pStyle w:val="143"/>
        <w:keepLines/>
        <w:numPr>
          <w:ilvl w:val="0"/>
          <w:numId w:val="7"/>
        </w:numPr>
        <w:spacing w:before="0" w:after="80" w:line="300" w:lineRule="auto"/>
      </w:pPr>
      <w:r>
        <w:rPr>
          <w:rFonts w:ascii="Arial" w:hAnsi="Arial" w:eastAsia="微软雅黑" w:cs="Arial"/>
          <w:color w:val="22252A"/>
          <w:sz w:val="22"/>
        </w:rPr>
        <w:t>结合、洗涤和肽洗脱时保持温和悬浮；采用磁分离，避免高速涡旋、磁力搅拌及高速离心，以免损伤琼脂糖或造成聚集。</w:t>
      </w:r>
    </w:p>
    <w:p w14:paraId="05B21170">
      <w:pPr>
        <w:pStyle w:val="143"/>
        <w:keepLines/>
        <w:numPr>
          <w:ilvl w:val="0"/>
          <w:numId w:val="7"/>
        </w:numPr>
        <w:spacing w:before="0" w:after="80" w:line="300" w:lineRule="auto"/>
      </w:pPr>
      <w:r>
        <w:rPr>
          <w:rFonts w:ascii="Arial" w:hAnsi="Arial" w:eastAsia="微软雅黑" w:cs="Arial"/>
          <w:color w:val="22252A"/>
          <w:sz w:val="22"/>
        </w:rPr>
        <w:t>磁分离时间取决于磁力架、液体体积和黏度。以“上清澄清且磁珠完全贴壁”为终点，通常为 30–90 秒；不要按固定秒数过早吸液。</w:t>
      </w:r>
    </w:p>
    <w:p w14:paraId="509B1E10">
      <w:pPr>
        <w:pStyle w:val="143"/>
        <w:keepLines/>
        <w:numPr>
          <w:ilvl w:val="0"/>
          <w:numId w:val="7"/>
        </w:numPr>
        <w:spacing w:before="0" w:after="80" w:line="300" w:lineRule="auto"/>
      </w:pPr>
      <w:r>
        <w:rPr>
          <w:rFonts w:ascii="Arial" w:hAnsi="Arial" w:eastAsia="微软雅黑" w:cs="Arial"/>
          <w:color w:val="22252A"/>
          <w:sz w:val="22"/>
        </w:rPr>
        <w:t>裂解液必须充分澄清。建议在 4°C、12,000–16,000 × g 离心 10–15 分钟后取上清；高黏度样品需适当剪切核酸。</w:t>
      </w:r>
    </w:p>
    <w:p w14:paraId="4B89B1C4">
      <w:pPr>
        <w:pStyle w:val="143"/>
        <w:keepLines/>
        <w:numPr>
          <w:ilvl w:val="0"/>
          <w:numId w:val="7"/>
        </w:numPr>
        <w:spacing w:before="0" w:after="80" w:line="300" w:lineRule="auto"/>
      </w:pPr>
      <w:r>
        <w:rPr>
          <w:rFonts w:ascii="Arial" w:hAnsi="Arial" w:eastAsia="微软雅黑" w:cs="Arial"/>
          <w:color w:val="22252A"/>
          <w:sz w:val="22"/>
        </w:rPr>
        <w:t>所有结合和洗涤缓冲液建议预冷；蛋白酶抑制剂应在使用前现加。若研究磷酸化或其他修饰，按实验需要加入相应抑制剂。</w:t>
      </w:r>
    </w:p>
    <w:p w14:paraId="07C94840">
      <w:pPr>
        <w:pStyle w:val="143"/>
        <w:keepLines/>
        <w:numPr>
          <w:numId w:val="0"/>
        </w:numPr>
        <w:spacing w:before="0" w:after="80" w:line="300" w:lineRule="auto"/>
      </w:pPr>
      <w:r>
        <w:rPr>
          <w:rFonts w:hint="eastAsia" w:ascii="Arial" w:hAnsi="Arial" w:eastAsia="微软雅黑" w:cs="Arial"/>
          <w:b/>
          <w:color w:val="B31B34"/>
          <w:sz w:val="32"/>
          <w:lang w:val="en-US" w:eastAsia="zh-CN"/>
        </w:rPr>
        <w:t>4.</w:t>
      </w:r>
      <w:r>
        <w:rPr>
          <w:rFonts w:ascii="Arial" w:hAnsi="Arial" w:eastAsia="微软雅黑" w:cs="Arial"/>
          <w:b/>
          <w:color w:val="B31B34"/>
          <w:sz w:val="32"/>
        </w:rPr>
        <w:t>推荐缓冲液</w:t>
      </w:r>
    </w:p>
    <w:tbl>
      <w:tblPr>
        <w:tblStyle w:val="32"/>
        <w:tblW w:w="9360" w:type="dxa"/>
        <w:tblInd w:w="1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0"/>
        <w:gridCol w:w="3450"/>
        <w:gridCol w:w="4010"/>
      </w:tblGrid>
      <w:tr w14:paraId="4BE079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1900" w:type="dxa"/>
            <w:tcBorders>
              <w:top w:val="single" w:color="D9DCE1" w:sz="6" w:space="0"/>
              <w:left w:val="single" w:color="D9DCE1" w:sz="6" w:space="0"/>
              <w:bottom w:val="single" w:color="D9DCE1" w:sz="6" w:space="0"/>
              <w:right w:val="single" w:color="D9DCE1" w:sz="6" w:space="0"/>
            </w:tcBorders>
            <w:shd w:val="clear" w:color="auto" w:fill="FCECE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B446CEE">
            <w:pPr>
              <w:spacing w:before="0" w:after="0" w:line="276" w:lineRule="auto"/>
              <w:jc w:val="center"/>
            </w:pPr>
            <w:r>
              <w:rPr>
                <w:rFonts w:ascii="Arial" w:hAnsi="Arial" w:eastAsia="微软雅黑" w:cs="Arial"/>
                <w:b/>
                <w:color w:val="7A1024"/>
                <w:sz w:val="20"/>
              </w:rPr>
              <w:t>缓冲液</w:t>
            </w:r>
          </w:p>
        </w:tc>
        <w:tc>
          <w:tcPr>
            <w:tcW w:w="3450" w:type="dxa"/>
            <w:tcBorders>
              <w:top w:val="single" w:color="D9DCE1" w:sz="6" w:space="0"/>
              <w:left w:val="single" w:color="D9DCE1" w:sz="6" w:space="0"/>
              <w:bottom w:val="single" w:color="D9DCE1" w:sz="6" w:space="0"/>
              <w:right w:val="single" w:color="D9DCE1" w:sz="6" w:space="0"/>
            </w:tcBorders>
            <w:shd w:val="clear" w:color="auto" w:fill="FCECE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D9BCF10">
            <w:pPr>
              <w:spacing w:before="0" w:after="0" w:line="276" w:lineRule="auto"/>
              <w:jc w:val="center"/>
            </w:pPr>
            <w:r>
              <w:rPr>
                <w:rFonts w:ascii="Arial" w:hAnsi="Arial" w:eastAsia="微软雅黑" w:cs="Arial"/>
                <w:b/>
                <w:color w:val="7A1024"/>
                <w:sz w:val="20"/>
              </w:rPr>
              <w:t>推荐组成</w:t>
            </w:r>
          </w:p>
        </w:tc>
        <w:tc>
          <w:tcPr>
            <w:tcW w:w="4010" w:type="dxa"/>
            <w:tcBorders>
              <w:top w:val="single" w:color="D9DCE1" w:sz="6" w:space="0"/>
              <w:left w:val="single" w:color="D9DCE1" w:sz="6" w:space="0"/>
              <w:bottom w:val="single" w:color="D9DCE1" w:sz="6" w:space="0"/>
              <w:right w:val="single" w:color="D9DCE1" w:sz="6" w:space="0"/>
            </w:tcBorders>
            <w:shd w:val="clear" w:color="auto" w:fill="FCECE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97F2742">
            <w:pPr>
              <w:spacing w:before="0" w:after="0" w:line="276" w:lineRule="auto"/>
              <w:jc w:val="center"/>
            </w:pPr>
            <w:r>
              <w:rPr>
                <w:rFonts w:ascii="Arial" w:hAnsi="Arial" w:eastAsia="微软雅黑" w:cs="Arial"/>
                <w:b/>
                <w:color w:val="7A1024"/>
                <w:sz w:val="20"/>
              </w:rPr>
              <w:t>用途与注意事项</w:t>
            </w:r>
          </w:p>
        </w:tc>
      </w:tr>
      <w:tr w14:paraId="5829A0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00" w:type="dxa"/>
            <w:tcBorders>
              <w:top w:val="single" w:color="D9DCE1" w:sz="6" w:space="0"/>
              <w:left w:val="single" w:color="D9DCE1" w:sz="6" w:space="0"/>
              <w:bottom w:val="single" w:color="D9DCE1" w:sz="6" w:space="0"/>
              <w:right w:val="single" w:color="D9DCE1" w:sz="6" w:space="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7F6732F">
            <w:pPr>
              <w:spacing w:before="0" w:after="0" w:line="276" w:lineRule="auto"/>
              <w:jc w:val="left"/>
            </w:pPr>
            <w:r>
              <w:rPr>
                <w:rFonts w:ascii="Arial" w:hAnsi="Arial" w:eastAsia="微软雅黑" w:cs="Arial"/>
                <w:b w:val="0"/>
                <w:color w:val="22252A"/>
                <w:sz w:val="19"/>
              </w:rPr>
              <w:t>温和 IP/Co-IP 裂解液</w:t>
            </w:r>
          </w:p>
        </w:tc>
        <w:tc>
          <w:tcPr>
            <w:tcW w:w="3450" w:type="dxa"/>
            <w:tcBorders>
              <w:top w:val="single" w:color="D9DCE1" w:sz="6" w:space="0"/>
              <w:left w:val="single" w:color="D9DCE1" w:sz="6" w:space="0"/>
              <w:bottom w:val="single" w:color="D9DCE1" w:sz="6" w:space="0"/>
              <w:right w:val="single" w:color="D9DCE1" w:sz="6" w:space="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70CF577">
            <w:pPr>
              <w:spacing w:before="0" w:after="0" w:line="276" w:lineRule="auto"/>
              <w:jc w:val="left"/>
            </w:pPr>
            <w:r>
              <w:rPr>
                <w:rFonts w:ascii="Arial" w:hAnsi="Arial" w:eastAsia="微软雅黑" w:cs="Arial"/>
                <w:b w:val="0"/>
                <w:color w:val="22252A"/>
                <w:sz w:val="19"/>
              </w:rPr>
              <w:t>25 mM Tris-HCl，150 mM NaCl，1 mM EDTA，0.5% NP-40 或 Triton X-100，5% glycerol，pH 7.4</w:t>
            </w:r>
          </w:p>
        </w:tc>
        <w:tc>
          <w:tcPr>
            <w:tcW w:w="4010" w:type="dxa"/>
            <w:tcBorders>
              <w:top w:val="single" w:color="D9DCE1" w:sz="6" w:space="0"/>
              <w:left w:val="single" w:color="D9DCE1" w:sz="6" w:space="0"/>
              <w:bottom w:val="single" w:color="D9DCE1" w:sz="6" w:space="0"/>
              <w:right w:val="single" w:color="D9DCE1" w:sz="6" w:space="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9C114C0">
            <w:pPr>
              <w:spacing w:before="0" w:after="0" w:line="276" w:lineRule="auto"/>
              <w:jc w:val="left"/>
            </w:pPr>
            <w:r>
              <w:rPr>
                <w:rFonts w:ascii="Arial" w:hAnsi="Arial" w:eastAsia="微软雅黑" w:cs="Arial"/>
                <w:b w:val="0"/>
                <w:color w:val="22252A"/>
                <w:sz w:val="19"/>
              </w:rPr>
              <w:t>适合作为常规起始条件。弱相互作用可将去污剂降至 0.1–0.3%；依赖二价离子的复合物应去除 EDTA 并补充相应离子。</w:t>
            </w:r>
          </w:p>
        </w:tc>
      </w:tr>
      <w:tr w14:paraId="3A9221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00" w:type="dxa"/>
            <w:tcBorders>
              <w:top w:val="single" w:color="D9DCE1" w:sz="6" w:space="0"/>
              <w:left w:val="single" w:color="D9DCE1" w:sz="6" w:space="0"/>
              <w:bottom w:val="single" w:color="D9DCE1" w:sz="6" w:space="0"/>
              <w:right w:val="single" w:color="D9DCE1" w:sz="6" w:space="0"/>
            </w:tcBorders>
            <w:shd w:val="clear" w:color="auto" w:fill="FCFCFD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6003B83">
            <w:pPr>
              <w:spacing w:before="0" w:after="0" w:line="276" w:lineRule="auto"/>
              <w:jc w:val="left"/>
            </w:pPr>
            <w:r>
              <w:rPr>
                <w:rFonts w:ascii="Arial" w:hAnsi="Arial" w:eastAsia="微软雅黑" w:cs="Arial"/>
                <w:b w:val="0"/>
                <w:color w:val="22252A"/>
                <w:sz w:val="19"/>
              </w:rPr>
              <w:t>常规洗涤液</w:t>
            </w:r>
          </w:p>
        </w:tc>
        <w:tc>
          <w:tcPr>
            <w:tcW w:w="3450" w:type="dxa"/>
            <w:tcBorders>
              <w:top w:val="single" w:color="D9DCE1" w:sz="6" w:space="0"/>
              <w:left w:val="single" w:color="D9DCE1" w:sz="6" w:space="0"/>
              <w:bottom w:val="single" w:color="D9DCE1" w:sz="6" w:space="0"/>
              <w:right w:val="single" w:color="D9DCE1" w:sz="6" w:space="0"/>
            </w:tcBorders>
            <w:shd w:val="clear" w:color="auto" w:fill="FCFCFD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C0BA988">
            <w:pPr>
              <w:spacing w:before="0" w:after="0" w:line="276" w:lineRule="auto"/>
              <w:jc w:val="left"/>
            </w:pPr>
            <w:r>
              <w:rPr>
                <w:rFonts w:ascii="Arial" w:hAnsi="Arial" w:eastAsia="微软雅黑" w:cs="Arial"/>
                <w:b w:val="0"/>
                <w:color w:val="22252A"/>
                <w:sz w:val="19"/>
              </w:rPr>
              <w:t>TBS + 0.05% Tween-20，pH 7.4；或直接使用已验证的裂解液</w:t>
            </w:r>
          </w:p>
        </w:tc>
        <w:tc>
          <w:tcPr>
            <w:tcW w:w="4010" w:type="dxa"/>
            <w:tcBorders>
              <w:top w:val="single" w:color="D9DCE1" w:sz="6" w:space="0"/>
              <w:left w:val="single" w:color="D9DCE1" w:sz="6" w:space="0"/>
              <w:bottom w:val="single" w:color="D9DCE1" w:sz="6" w:space="0"/>
              <w:right w:val="single" w:color="D9DCE1" w:sz="6" w:space="0"/>
            </w:tcBorders>
            <w:shd w:val="clear" w:color="auto" w:fill="FCFCFD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049D386">
            <w:pPr>
              <w:spacing w:before="0" w:after="0" w:line="276" w:lineRule="auto"/>
              <w:jc w:val="left"/>
            </w:pPr>
            <w:r>
              <w:rPr>
                <w:rFonts w:ascii="Arial" w:hAnsi="Arial" w:eastAsia="微软雅黑" w:cs="Arial"/>
                <w:b w:val="0"/>
                <w:color w:val="22252A"/>
                <w:sz w:val="19"/>
              </w:rPr>
              <w:t>常规 IP/纯化使用 TBS-T；Co-IP 优先使用与结合阶段相同或更温和的缓冲体系。</w:t>
            </w:r>
          </w:p>
        </w:tc>
      </w:tr>
      <w:tr w14:paraId="4BF855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1900" w:type="dxa"/>
            <w:tcBorders>
              <w:top w:val="single" w:color="D9DCE1" w:sz="6" w:space="0"/>
              <w:left w:val="single" w:color="D9DCE1" w:sz="6" w:space="0"/>
              <w:bottom w:val="single" w:color="D9DCE1" w:sz="6" w:space="0"/>
              <w:right w:val="single" w:color="D9DCE1" w:sz="6" w:space="0"/>
            </w:tcBorders>
            <w:shd w:val="clear" w:color="auto" w:fill="FCECE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6743D21">
            <w:pPr>
              <w:spacing w:before="0" w:after="0" w:line="276" w:lineRule="auto"/>
              <w:jc w:val="center"/>
            </w:pPr>
            <w:r>
              <w:rPr>
                <w:rFonts w:ascii="Arial" w:hAnsi="Arial" w:eastAsia="微软雅黑" w:cs="Arial"/>
                <w:b/>
                <w:color w:val="7A1024"/>
                <w:sz w:val="20"/>
              </w:rPr>
              <w:t>缓冲液</w:t>
            </w:r>
          </w:p>
        </w:tc>
        <w:tc>
          <w:tcPr>
            <w:tcW w:w="3450" w:type="dxa"/>
            <w:tcBorders>
              <w:top w:val="single" w:color="D9DCE1" w:sz="6" w:space="0"/>
              <w:left w:val="single" w:color="D9DCE1" w:sz="6" w:space="0"/>
              <w:bottom w:val="single" w:color="D9DCE1" w:sz="6" w:space="0"/>
              <w:right w:val="single" w:color="D9DCE1" w:sz="6" w:space="0"/>
            </w:tcBorders>
            <w:shd w:val="clear" w:color="auto" w:fill="FCECE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850F531">
            <w:pPr>
              <w:spacing w:before="0" w:after="0" w:line="276" w:lineRule="auto"/>
              <w:jc w:val="center"/>
            </w:pPr>
            <w:r>
              <w:rPr>
                <w:rFonts w:ascii="Arial" w:hAnsi="Arial" w:eastAsia="微软雅黑" w:cs="Arial"/>
                <w:b/>
                <w:color w:val="7A1024"/>
                <w:sz w:val="20"/>
              </w:rPr>
              <w:t>推荐组成</w:t>
            </w:r>
          </w:p>
        </w:tc>
        <w:tc>
          <w:tcPr>
            <w:tcW w:w="4010" w:type="dxa"/>
            <w:tcBorders>
              <w:top w:val="single" w:color="D9DCE1" w:sz="6" w:space="0"/>
              <w:left w:val="single" w:color="D9DCE1" w:sz="6" w:space="0"/>
              <w:bottom w:val="single" w:color="D9DCE1" w:sz="6" w:space="0"/>
              <w:right w:val="single" w:color="D9DCE1" w:sz="6" w:space="0"/>
            </w:tcBorders>
            <w:shd w:val="clear" w:color="auto" w:fill="FCECE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012E269">
            <w:pPr>
              <w:spacing w:before="0" w:after="0" w:line="276" w:lineRule="auto"/>
              <w:jc w:val="center"/>
            </w:pPr>
            <w:r>
              <w:rPr>
                <w:rFonts w:ascii="Arial" w:hAnsi="Arial" w:eastAsia="微软雅黑" w:cs="Arial"/>
                <w:b/>
                <w:color w:val="7A1024"/>
                <w:sz w:val="20"/>
              </w:rPr>
              <w:t>用途与注意事项</w:t>
            </w:r>
          </w:p>
        </w:tc>
      </w:tr>
      <w:tr w14:paraId="21B7BF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00" w:type="dxa"/>
            <w:tcBorders>
              <w:top w:val="single" w:color="D9DCE1" w:sz="6" w:space="0"/>
              <w:left w:val="single" w:color="D9DCE1" w:sz="6" w:space="0"/>
              <w:bottom w:val="single" w:color="D9DCE1" w:sz="6" w:space="0"/>
              <w:right w:val="single" w:color="D9DCE1" w:sz="6" w:space="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CEDCD5E">
            <w:pPr>
              <w:spacing w:before="0" w:after="0" w:line="276" w:lineRule="auto"/>
              <w:jc w:val="left"/>
            </w:pPr>
            <w:r>
              <w:rPr>
                <w:rFonts w:ascii="Arial" w:hAnsi="Arial" w:eastAsia="微软雅黑" w:cs="Arial"/>
                <w:b w:val="0"/>
                <w:color w:val="22252A"/>
                <w:sz w:val="19"/>
              </w:rPr>
              <w:t>标准 HA peptide 洗脱液</w:t>
            </w:r>
          </w:p>
        </w:tc>
        <w:tc>
          <w:tcPr>
            <w:tcW w:w="3450" w:type="dxa"/>
            <w:tcBorders>
              <w:top w:val="single" w:color="D9DCE1" w:sz="6" w:space="0"/>
              <w:left w:val="single" w:color="D9DCE1" w:sz="6" w:space="0"/>
              <w:bottom w:val="single" w:color="D9DCE1" w:sz="6" w:space="0"/>
              <w:right w:val="single" w:color="D9DCE1" w:sz="6" w:space="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600A3B2">
            <w:pPr>
              <w:spacing w:before="0" w:after="0" w:line="276" w:lineRule="auto"/>
              <w:jc w:val="left"/>
            </w:pPr>
            <w:r>
              <w:rPr>
                <w:rFonts w:ascii="Arial" w:hAnsi="Arial" w:eastAsia="微软雅黑" w:cs="Arial"/>
                <w:b w:val="0"/>
                <w:color w:val="22252A"/>
                <w:sz w:val="19"/>
              </w:rPr>
              <w:t>1 mg/mL HA peptide（YPYDVPDYA）溶于 TBS 或 PBS，pH 7.2–7.6</w:t>
            </w:r>
          </w:p>
        </w:tc>
        <w:tc>
          <w:tcPr>
            <w:tcW w:w="4010" w:type="dxa"/>
            <w:tcBorders>
              <w:top w:val="single" w:color="D9DCE1" w:sz="6" w:space="0"/>
              <w:left w:val="single" w:color="D9DCE1" w:sz="6" w:space="0"/>
              <w:bottom w:val="single" w:color="D9DCE1" w:sz="6" w:space="0"/>
              <w:right w:val="single" w:color="D9DCE1" w:sz="6" w:space="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234E28A">
            <w:pPr>
              <w:spacing w:before="0" w:after="0" w:line="276" w:lineRule="auto"/>
              <w:jc w:val="left"/>
            </w:pPr>
            <w:r>
              <w:rPr>
                <w:rFonts w:ascii="Arial" w:hAnsi="Arial" w:eastAsia="微软雅黑" w:cs="Arial"/>
                <w:b w:val="0"/>
                <w:color w:val="22252A"/>
                <w:sz w:val="19"/>
              </w:rPr>
              <w:t>现配或分装保存，避免反复冻融。标准反应使用 50 µL，</w:t>
            </w:r>
            <w:r>
              <w:rPr>
                <w:rFonts w:hint="eastAsia" w:cs="Arial"/>
                <w:b w:val="0"/>
                <w:color w:val="22252A"/>
                <w:sz w:val="19"/>
                <w:lang w:val="en-US" w:eastAsia="zh-CN"/>
              </w:rPr>
              <w:t>37℃</w:t>
            </w:r>
            <w:r>
              <w:rPr>
                <w:rFonts w:ascii="Arial" w:hAnsi="Arial" w:eastAsia="微软雅黑" w:cs="Arial"/>
                <w:b w:val="0"/>
                <w:color w:val="22252A"/>
                <w:sz w:val="19"/>
              </w:rPr>
              <w:t xml:space="preserve"> 30 分钟。</w:t>
            </w:r>
          </w:p>
        </w:tc>
      </w:tr>
    </w:tbl>
    <w:p w14:paraId="621BDC97">
      <w:pPr>
        <w:spacing w:before="0" w:after="60" w:line="96" w:lineRule="auto"/>
      </w:pPr>
    </w:p>
    <w:tbl>
      <w:tblPr>
        <w:tblStyle w:val="32"/>
        <w:tblW w:w="9360" w:type="dxa"/>
        <w:tblInd w:w="18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0"/>
      </w:tblGrid>
      <w:tr w14:paraId="360835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360" w:type="dxa"/>
            <w:tcBorders>
              <w:top w:val="nil"/>
              <w:left w:val="single" w:color="8A5A00" w:sz="18" w:space="0"/>
              <w:bottom w:val="nil"/>
              <w:right w:val="nil"/>
            </w:tcBorders>
            <w:shd w:val="clear" w:color="auto" w:fill="FFF7E4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35C9F49">
            <w:pPr>
              <w:spacing w:before="40" w:after="40" w:line="283" w:lineRule="auto"/>
            </w:pPr>
            <w:r>
              <w:rPr>
                <w:rFonts w:ascii="Arial" w:hAnsi="Arial" w:eastAsia="微软雅黑" w:cs="Arial"/>
                <w:b/>
                <w:color w:val="8A5A00"/>
                <w:sz w:val="20"/>
              </w:rPr>
              <w:t xml:space="preserve">缓冲液边界  </w:t>
            </w:r>
            <w:r>
              <w:rPr>
                <w:rFonts w:ascii="Arial" w:hAnsi="Arial" w:eastAsia="微软雅黑" w:cs="Arial"/>
                <w:color w:val="22252A"/>
                <w:sz w:val="20"/>
              </w:rPr>
              <w:t>不要把含高浓度 DTT、β-巯基乙醇、SDS 或强变性剂的样品直接用于结合。若目标蛋白确实需要还原剂或特殊去污剂，请做小规模梯度验证，并同时检查抗体活性和复合物完整性。</w:t>
            </w:r>
          </w:p>
        </w:tc>
      </w:tr>
    </w:tbl>
    <w:p w14:paraId="7C630732">
      <w:pPr>
        <w:pStyle w:val="3"/>
        <w:keepNext w:val="0"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</w:pPr>
      <w:r>
        <w:rPr>
          <w:rFonts w:hint="eastAsia" w:ascii="Arial" w:hAnsi="Arial" w:eastAsia="微软雅黑" w:cs="Arial"/>
          <w:b/>
          <w:color w:val="B31B34"/>
          <w:sz w:val="32"/>
          <w:lang w:val="en-US" w:eastAsia="zh-CN"/>
        </w:rPr>
        <w:t>5.</w:t>
      </w:r>
      <w:r>
        <w:rPr>
          <w:rFonts w:ascii="Arial" w:hAnsi="Arial" w:eastAsia="微软雅黑" w:cs="Arial"/>
          <w:b/>
          <w:color w:val="B31B34"/>
          <w:sz w:val="32"/>
        </w:rPr>
        <w:t>标准操作流程：每个样品 50 µL 磁珠悬液</w:t>
      </w:r>
    </w:p>
    <w:tbl>
      <w:tblPr>
        <w:tblStyle w:val="32"/>
        <w:tblW w:w="9360" w:type="dxa"/>
        <w:tblInd w:w="18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0"/>
      </w:tblGrid>
      <w:tr w14:paraId="5793DA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360" w:type="dxa"/>
            <w:tcBorders>
              <w:top w:val="nil"/>
              <w:left w:val="single" w:color="B31B34" w:sz="18" w:space="0"/>
              <w:bottom w:val="nil"/>
              <w:right w:val="nil"/>
            </w:tcBorders>
            <w:shd w:val="clear" w:color="auto" w:fill="FFF6F8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C015819">
            <w:pPr>
              <w:spacing w:before="40" w:after="40" w:line="283" w:lineRule="auto"/>
            </w:pPr>
            <w:r>
              <w:rPr>
                <w:rFonts w:ascii="Arial" w:hAnsi="Arial" w:eastAsia="微软雅黑" w:cs="Arial"/>
                <w:b/>
                <w:color w:val="B31B34"/>
                <w:sz w:val="20"/>
              </w:rPr>
              <w:t xml:space="preserve">流程概览  </w:t>
            </w:r>
            <w:r>
              <w:rPr>
                <w:rFonts w:ascii="Arial" w:hAnsi="Arial" w:eastAsia="微软雅黑" w:cs="Arial"/>
                <w:color w:val="22252A"/>
                <w:sz w:val="20"/>
              </w:rPr>
              <w:t xml:space="preserve">混匀取珠 → 平衡 2 次 → 加入澄清裂解液 → 4°C 结合 </w:t>
            </w:r>
            <w:r>
              <w:rPr>
                <w:rFonts w:hint="eastAsia" w:cs="Arial"/>
                <w:color w:val="22252A"/>
                <w:sz w:val="20"/>
                <w:lang w:val="en-US" w:eastAsia="zh-CN"/>
              </w:rPr>
              <w:t>2-4</w:t>
            </w:r>
            <w:r>
              <w:rPr>
                <w:rFonts w:ascii="Arial" w:hAnsi="Arial" w:eastAsia="微软雅黑" w:cs="Arial"/>
                <w:color w:val="22252A"/>
                <w:sz w:val="20"/>
              </w:rPr>
              <w:t xml:space="preserve"> 小时 → 洗涤 4 次 → 1 mg/mL HA peptide </w:t>
            </w:r>
            <w:r>
              <w:rPr>
                <w:rFonts w:hint="eastAsia" w:cs="Arial"/>
                <w:b w:val="0"/>
                <w:color w:val="22252A"/>
                <w:sz w:val="19"/>
                <w:lang w:val="en-US" w:eastAsia="zh-CN"/>
              </w:rPr>
              <w:t>37℃</w:t>
            </w:r>
            <w:r>
              <w:rPr>
                <w:rFonts w:ascii="Arial" w:hAnsi="Arial" w:eastAsia="微软雅黑" w:cs="Arial"/>
                <w:b w:val="0"/>
                <w:color w:val="22252A"/>
                <w:sz w:val="19"/>
              </w:rPr>
              <w:t xml:space="preserve"> </w:t>
            </w:r>
            <w:r>
              <w:rPr>
                <w:rFonts w:ascii="Arial" w:hAnsi="Arial" w:eastAsia="微软雅黑" w:cs="Arial"/>
                <w:color w:val="22252A"/>
                <w:sz w:val="20"/>
              </w:rPr>
              <w:t>洗脱 30 分钟 → 磁分离收集洗脱液。</w:t>
            </w:r>
          </w:p>
        </w:tc>
      </w:tr>
    </w:tbl>
    <w:p w14:paraId="4843D37D">
      <w:pPr>
        <w:pStyle w:val="4"/>
        <w:keepNext/>
        <w:keepLines/>
      </w:pPr>
      <w:r>
        <w:rPr>
          <w:rFonts w:hint="eastAsia" w:ascii="Arial" w:hAnsi="Arial" w:eastAsia="微软雅黑" w:cs="Arial"/>
          <w:b/>
          <w:color w:val="B31B34"/>
          <w:sz w:val="26"/>
          <w:lang w:val="en-US" w:eastAsia="zh-CN"/>
        </w:rPr>
        <w:t>5.1</w:t>
      </w:r>
      <w:r>
        <w:rPr>
          <w:rFonts w:ascii="Arial" w:hAnsi="Arial" w:eastAsia="微软雅黑" w:cs="Arial"/>
          <w:b/>
          <w:color w:val="B31B34"/>
          <w:sz w:val="26"/>
        </w:rPr>
        <w:t>样品制备</w:t>
      </w:r>
    </w:p>
    <w:p w14:paraId="34B79BA8">
      <w:pPr>
        <w:pStyle w:val="143"/>
        <w:keepLines/>
        <w:numPr>
          <w:ilvl w:val="0"/>
          <w:numId w:val="8"/>
        </w:numPr>
        <w:spacing w:before="0" w:after="120" w:line="300" w:lineRule="auto"/>
      </w:pPr>
      <w:r>
        <w:rPr>
          <w:rFonts w:ascii="Arial" w:hAnsi="Arial" w:eastAsia="微软雅黑" w:cs="Arial"/>
          <w:b/>
          <w:color w:val="7A1024"/>
          <w:sz w:val="22"/>
        </w:rPr>
        <w:t>裂解：</w:t>
      </w:r>
      <w:r>
        <w:rPr>
          <w:rFonts w:ascii="Arial" w:hAnsi="Arial" w:eastAsia="微软雅黑" w:cs="Arial"/>
          <w:color w:val="22252A"/>
          <w:sz w:val="22"/>
        </w:rPr>
        <w:t>使用预冷、已验证的裂解液制备样品，并现加蛋白酶抑制剂。建议起始样品为 200–1,000 µL、总蛋白约 0.5–1.0 mg。</w:t>
      </w:r>
    </w:p>
    <w:p w14:paraId="5010FC52">
      <w:pPr>
        <w:pStyle w:val="143"/>
        <w:keepLines/>
        <w:numPr>
          <w:ilvl w:val="0"/>
          <w:numId w:val="8"/>
        </w:numPr>
        <w:spacing w:before="0" w:after="120" w:line="300" w:lineRule="auto"/>
      </w:pPr>
      <w:r>
        <w:rPr>
          <w:rFonts w:ascii="Arial" w:hAnsi="Arial" w:eastAsia="微软雅黑" w:cs="Arial"/>
          <w:b/>
          <w:color w:val="7A1024"/>
          <w:sz w:val="22"/>
        </w:rPr>
        <w:t>澄清：</w:t>
      </w:r>
      <w:r>
        <w:rPr>
          <w:rFonts w:ascii="Arial" w:hAnsi="Arial" w:eastAsia="微软雅黑" w:cs="Arial"/>
          <w:color w:val="22252A"/>
          <w:sz w:val="22"/>
        </w:rPr>
        <w:t>4°C、12,000–16,000 × g 离心 10–15 分钟，转移上清至新的低吸附管；避免带入沉淀。</w:t>
      </w:r>
    </w:p>
    <w:p w14:paraId="5D2FD1C8">
      <w:pPr>
        <w:pStyle w:val="143"/>
        <w:keepLines/>
        <w:numPr>
          <w:ilvl w:val="0"/>
          <w:numId w:val="8"/>
        </w:numPr>
        <w:spacing w:before="0" w:after="120" w:line="300" w:lineRule="auto"/>
        <w:sectPr>
          <w:headerReference r:id="rId5" w:type="default"/>
          <w:footerReference r:id="rId6" w:type="default"/>
          <w:pgSz w:w="12240" w:h="15840"/>
          <w:pgMar w:top="1440" w:right="1440" w:bottom="1440" w:left="1440" w:header="708" w:footer="708" w:gutter="0"/>
          <w:pgNumType w:fmt="decimal"/>
          <w:cols w:space="720" w:num="1"/>
          <w:docGrid w:linePitch="360" w:charSpace="0"/>
        </w:sectPr>
      </w:pPr>
      <w:r>
        <w:rPr>
          <w:rFonts w:ascii="Arial" w:hAnsi="Arial" w:eastAsia="微软雅黑" w:cs="Arial"/>
          <w:b/>
          <w:color w:val="7A1024"/>
          <w:sz w:val="22"/>
        </w:rPr>
        <w:t>留样：</w:t>
      </w:r>
      <w:r>
        <w:rPr>
          <w:rFonts w:ascii="Arial" w:hAnsi="Arial" w:eastAsia="微软雅黑" w:cs="Arial"/>
          <w:color w:val="22252A"/>
          <w:sz w:val="22"/>
        </w:rPr>
        <w:t xml:space="preserve">保留 5–10% 澄清裂解液作为 Input。首次优化或排查实验时，同时计划保留 Flow-through、末次 Wash、Elution 1 和 Elution </w:t>
      </w:r>
    </w:p>
    <w:p w14:paraId="58269B26">
      <w:pPr>
        <w:pStyle w:val="4"/>
        <w:keepNext w:val="0"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</w:pPr>
      <w:r>
        <w:rPr>
          <w:rFonts w:hint="eastAsia" w:ascii="Arial" w:hAnsi="Arial" w:eastAsia="微软雅黑" w:cs="Arial"/>
          <w:b/>
          <w:color w:val="B31B34"/>
          <w:sz w:val="26"/>
          <w:lang w:val="en-US" w:eastAsia="zh-CN"/>
        </w:rPr>
        <w:t>5.2</w:t>
      </w:r>
      <w:r>
        <w:rPr>
          <w:rFonts w:ascii="Arial" w:hAnsi="Arial" w:eastAsia="微软雅黑" w:cs="Arial"/>
          <w:b/>
          <w:color w:val="B31B34"/>
          <w:sz w:val="26"/>
        </w:rPr>
        <w:t>磁珠平衡</w:t>
      </w:r>
    </w:p>
    <w:p w14:paraId="5B424ADA">
      <w:pPr>
        <w:pStyle w:val="143"/>
        <w:keepLines/>
        <w:numPr>
          <w:ilvl w:val="0"/>
          <w:numId w:val="9"/>
        </w:numPr>
        <w:spacing w:before="0" w:after="120" w:line="300" w:lineRule="auto"/>
      </w:pPr>
      <w:r>
        <w:rPr>
          <w:rFonts w:ascii="Arial" w:hAnsi="Arial" w:eastAsia="微软雅黑" w:cs="Arial"/>
          <w:b/>
          <w:color w:val="7A1024"/>
          <w:sz w:val="22"/>
        </w:rPr>
        <w:t>重悬：</w:t>
      </w:r>
      <w:r>
        <w:rPr>
          <w:rFonts w:ascii="Arial" w:hAnsi="Arial" w:eastAsia="微软雅黑" w:cs="Arial"/>
          <w:color w:val="22252A"/>
          <w:sz w:val="22"/>
        </w:rPr>
        <w:t>轻柔颠倒原瓶 10–20 次，或缓慢旋转至磁珠完全均一。不要剧烈涡旋。</w:t>
      </w:r>
    </w:p>
    <w:p w14:paraId="1DA9B9DB">
      <w:pPr>
        <w:pStyle w:val="143"/>
        <w:keepLines/>
        <w:numPr>
          <w:ilvl w:val="0"/>
          <w:numId w:val="9"/>
        </w:numPr>
        <w:spacing w:before="0" w:after="120" w:line="300" w:lineRule="auto"/>
      </w:pPr>
      <w:r>
        <w:rPr>
          <w:rFonts w:ascii="Arial" w:hAnsi="Arial" w:eastAsia="微软雅黑" w:cs="Arial"/>
          <w:b/>
          <w:color w:val="7A1024"/>
          <w:sz w:val="22"/>
        </w:rPr>
        <w:t>取珠：</w:t>
      </w:r>
      <w:r>
        <w:rPr>
          <w:rFonts w:ascii="Arial" w:hAnsi="Arial" w:eastAsia="微软雅黑" w:cs="Arial"/>
          <w:color w:val="22252A"/>
          <w:sz w:val="22"/>
        </w:rPr>
        <w:t>用宽口枪头吸取 50 µL 磁珠悬液至 1.5 mL 低吸附管。该体积含约 20 µL 沉降磁珠。</w:t>
      </w:r>
    </w:p>
    <w:p w14:paraId="0B80B1C8">
      <w:pPr>
        <w:pStyle w:val="143"/>
        <w:keepLines/>
        <w:numPr>
          <w:ilvl w:val="0"/>
          <w:numId w:val="9"/>
        </w:numPr>
        <w:spacing w:before="0" w:after="120" w:line="300" w:lineRule="auto"/>
      </w:pPr>
      <w:r>
        <w:rPr>
          <w:rFonts w:ascii="Arial" w:hAnsi="Arial" w:eastAsia="微软雅黑" w:cs="Arial"/>
          <w:b/>
          <w:color w:val="7A1024"/>
          <w:sz w:val="22"/>
        </w:rPr>
        <w:t>磁分离：</w:t>
      </w:r>
      <w:r>
        <w:rPr>
          <w:rFonts w:ascii="Arial" w:hAnsi="Arial" w:eastAsia="微软雅黑" w:cs="Arial"/>
          <w:color w:val="22252A"/>
          <w:sz w:val="22"/>
        </w:rPr>
        <w:t>置于磁力架 30–90 秒，待上清澄清后小心去除保存液。</w:t>
      </w:r>
    </w:p>
    <w:p w14:paraId="10FEE948">
      <w:pPr>
        <w:pStyle w:val="143"/>
        <w:keepLines/>
        <w:numPr>
          <w:ilvl w:val="0"/>
          <w:numId w:val="9"/>
        </w:numPr>
        <w:spacing w:before="0" w:after="120" w:line="300" w:lineRule="auto"/>
      </w:pPr>
      <w:r>
        <w:rPr>
          <w:rFonts w:ascii="Arial" w:hAnsi="Arial" w:eastAsia="微软雅黑" w:cs="Arial"/>
          <w:b/>
          <w:color w:val="7A1024"/>
          <w:sz w:val="22"/>
        </w:rPr>
        <w:t>平衡：</w:t>
      </w:r>
      <w:r>
        <w:rPr>
          <w:rFonts w:ascii="Arial" w:hAnsi="Arial" w:eastAsia="微软雅黑" w:cs="Arial"/>
          <w:color w:val="22252A"/>
          <w:sz w:val="22"/>
        </w:rPr>
        <w:t>加入 500 µL 冰冷裂解/结合缓冲液，轻柔吹打或颠倒使磁珠完全悬浮；磁分离并弃上清。重复 1 次，共平衡 2 次。</w:t>
      </w:r>
    </w:p>
    <w:p w14:paraId="56DE4D05">
      <w:pPr>
        <w:pStyle w:val="4"/>
        <w:keepNext/>
        <w:keepLines/>
      </w:pPr>
      <w:r>
        <w:rPr>
          <w:rFonts w:hint="eastAsia" w:ascii="Arial" w:hAnsi="Arial" w:eastAsia="微软雅黑" w:cs="Arial"/>
          <w:b/>
          <w:color w:val="B31B34"/>
          <w:sz w:val="26"/>
          <w:lang w:val="en-US" w:eastAsia="zh-CN"/>
        </w:rPr>
        <w:t>5.3</w:t>
      </w:r>
      <w:r>
        <w:rPr>
          <w:rFonts w:ascii="Arial" w:hAnsi="Arial" w:eastAsia="微软雅黑" w:cs="Arial"/>
          <w:b/>
          <w:color w:val="B31B34"/>
          <w:sz w:val="26"/>
        </w:rPr>
        <w:t>结合 HA 标签蛋白</w:t>
      </w:r>
    </w:p>
    <w:p w14:paraId="76E94605">
      <w:pPr>
        <w:pStyle w:val="143"/>
        <w:keepLines/>
        <w:numPr>
          <w:ilvl w:val="0"/>
          <w:numId w:val="10"/>
        </w:numPr>
        <w:spacing w:before="0" w:after="120" w:line="300" w:lineRule="auto"/>
      </w:pPr>
      <w:r>
        <w:rPr>
          <w:rFonts w:ascii="Arial" w:hAnsi="Arial" w:eastAsia="微软雅黑" w:cs="Arial"/>
          <w:b/>
          <w:color w:val="7A1024"/>
          <w:sz w:val="22"/>
        </w:rPr>
        <w:t>加样：</w:t>
      </w:r>
      <w:r>
        <w:rPr>
          <w:rFonts w:ascii="Arial" w:hAnsi="Arial" w:eastAsia="微软雅黑" w:cs="Arial"/>
          <w:color w:val="22252A"/>
          <w:sz w:val="22"/>
        </w:rPr>
        <w:t>将澄清裂解液加入已平衡的磁珠中，轻柔混匀。若总体积小于 200 µL，可用结合缓冲液补足，以利于持续混匀。</w:t>
      </w:r>
    </w:p>
    <w:p w14:paraId="505C0110">
      <w:pPr>
        <w:pStyle w:val="143"/>
        <w:keepLines/>
        <w:numPr>
          <w:ilvl w:val="0"/>
          <w:numId w:val="10"/>
        </w:numPr>
        <w:spacing w:before="0" w:after="120" w:line="300" w:lineRule="auto"/>
      </w:pPr>
      <w:r>
        <w:rPr>
          <w:rFonts w:ascii="Arial" w:hAnsi="Arial" w:eastAsia="微软雅黑" w:cs="Arial"/>
          <w:b/>
          <w:color w:val="7A1024"/>
          <w:sz w:val="22"/>
        </w:rPr>
        <w:t>孵育：</w:t>
      </w:r>
      <w:r>
        <w:rPr>
          <w:rFonts w:ascii="Arial" w:hAnsi="Arial" w:eastAsia="微软雅黑" w:cs="Arial"/>
          <w:color w:val="22252A"/>
          <w:sz w:val="22"/>
        </w:rPr>
        <w:t>4°C 端对端温和旋转</w:t>
      </w:r>
      <w:r>
        <w:rPr>
          <w:rFonts w:hint="eastAsia" w:cs="Arial"/>
          <w:color w:val="22252A"/>
          <w:sz w:val="22"/>
          <w:lang w:val="en-US" w:eastAsia="zh-CN"/>
        </w:rPr>
        <w:t>2</w:t>
      </w:r>
      <w:r>
        <w:rPr>
          <w:rFonts w:ascii="Arial" w:hAnsi="Arial" w:eastAsia="微软雅黑" w:cs="Arial"/>
          <w:color w:val="22252A"/>
          <w:sz w:val="22"/>
        </w:rPr>
        <w:t>小时</w:t>
      </w:r>
      <w:r>
        <w:rPr>
          <w:rFonts w:ascii="Arial" w:hAnsi="Arial" w:eastAsia="微软雅黑" w:cs="Arial"/>
          <w:color w:val="22252A"/>
          <w:sz w:val="22"/>
        </w:rPr>
        <w:t xml:space="preserve">。低丰度样品可延长至 </w:t>
      </w:r>
      <w:r>
        <w:rPr>
          <w:rFonts w:hint="eastAsia" w:cs="Arial"/>
          <w:color w:val="22252A"/>
          <w:sz w:val="22"/>
          <w:lang w:val="en-US" w:eastAsia="zh-CN"/>
        </w:rPr>
        <w:t>4</w:t>
      </w:r>
      <w:r>
        <w:rPr>
          <w:rFonts w:ascii="Arial" w:hAnsi="Arial" w:eastAsia="微软雅黑" w:cs="Arial"/>
          <w:color w:val="22252A"/>
          <w:sz w:val="22"/>
        </w:rPr>
        <w:t xml:space="preserve"> 小时。</w:t>
      </w:r>
    </w:p>
    <w:p w14:paraId="77AC9397">
      <w:pPr>
        <w:pStyle w:val="143"/>
        <w:keepLines/>
        <w:numPr>
          <w:ilvl w:val="0"/>
          <w:numId w:val="10"/>
        </w:numPr>
        <w:spacing w:before="0" w:after="120" w:line="300" w:lineRule="auto"/>
      </w:pPr>
      <w:r>
        <w:rPr>
          <w:rFonts w:ascii="Arial" w:hAnsi="Arial" w:eastAsia="微软雅黑" w:cs="Arial"/>
          <w:b/>
          <w:color w:val="7A1024"/>
          <w:sz w:val="22"/>
        </w:rPr>
        <w:t>收集 Flow-through：</w:t>
      </w:r>
      <w:r>
        <w:rPr>
          <w:rFonts w:ascii="Arial" w:hAnsi="Arial" w:eastAsia="微软雅黑" w:cs="Arial"/>
          <w:color w:val="22252A"/>
          <w:sz w:val="22"/>
        </w:rPr>
        <w:t>磁分离至上清澄清，转移上清至新管并保留用于评估是否过载或结合不完全。</w:t>
      </w:r>
    </w:p>
    <w:p w14:paraId="3904AEBC">
      <w:pPr>
        <w:pStyle w:val="4"/>
        <w:keepNext/>
        <w:keepLines/>
        <w:rPr>
          <w:rFonts w:hint="eastAsia" w:ascii="Arial" w:hAnsi="Arial" w:eastAsia="微软雅黑" w:cs="Arial"/>
          <w:b/>
          <w:color w:val="B31B34"/>
          <w:sz w:val="26"/>
          <w:lang w:val="en-US" w:eastAsia="zh-CN"/>
        </w:rPr>
      </w:pPr>
      <w:r>
        <w:rPr>
          <w:rFonts w:hint="eastAsia" w:ascii="Arial" w:hAnsi="Arial" w:eastAsia="微软雅黑" w:cs="Arial"/>
          <w:b/>
          <w:color w:val="B31B34"/>
          <w:sz w:val="26"/>
          <w:lang w:val="en-US" w:eastAsia="zh-CN"/>
        </w:rPr>
        <w:t>5.4洗涤</w:t>
      </w:r>
    </w:p>
    <w:p w14:paraId="500B902B">
      <w:pPr>
        <w:pStyle w:val="143"/>
        <w:keepLines/>
        <w:numPr>
          <w:ilvl w:val="0"/>
          <w:numId w:val="11"/>
        </w:numPr>
        <w:spacing w:before="0" w:after="120" w:line="300" w:lineRule="auto"/>
      </w:pPr>
      <w:r>
        <w:rPr>
          <w:rFonts w:ascii="Arial" w:hAnsi="Arial" w:eastAsia="微软雅黑" w:cs="Arial"/>
          <w:b/>
          <w:color w:val="7A1024"/>
          <w:sz w:val="22"/>
        </w:rPr>
        <w:t>洗涤 1–4：</w:t>
      </w:r>
      <w:r>
        <w:rPr>
          <w:rFonts w:ascii="Arial" w:hAnsi="Arial" w:eastAsia="微软雅黑" w:cs="Arial"/>
          <w:color w:val="22252A"/>
          <w:sz w:val="22"/>
        </w:rPr>
        <w:t>每次加入 500 µL 预冷洗涤液，轻柔、充分重悬磁珠，4°C 旋转 3–5 分钟；磁分离至上清澄清后去除洗液。共洗 4 次。</w:t>
      </w:r>
    </w:p>
    <w:p w14:paraId="1CE8C756">
      <w:pPr>
        <w:pStyle w:val="143"/>
        <w:keepLines/>
        <w:numPr>
          <w:ilvl w:val="0"/>
          <w:numId w:val="11"/>
        </w:numPr>
        <w:spacing w:before="0" w:after="120" w:line="300" w:lineRule="auto"/>
      </w:pPr>
      <w:r>
        <w:rPr>
          <w:rFonts w:ascii="Arial" w:hAnsi="Arial" w:eastAsia="微软雅黑" w:cs="Arial"/>
          <w:b/>
          <w:color w:val="7A1024"/>
          <w:sz w:val="22"/>
        </w:rPr>
        <w:t>末次换管：</w:t>
      </w:r>
      <w:r>
        <w:rPr>
          <w:rFonts w:ascii="Arial" w:hAnsi="Arial" w:eastAsia="微软雅黑" w:cs="Arial"/>
          <w:color w:val="22252A"/>
          <w:sz w:val="22"/>
        </w:rPr>
        <w:t>为降低离心管壁吸附造成的背景，末次洗涤重悬后可将全部磁珠悬液转入新管，再完成磁分离。</w:t>
      </w:r>
    </w:p>
    <w:p w14:paraId="5E100CC0">
      <w:pPr>
        <w:pStyle w:val="143"/>
        <w:keepLines/>
        <w:numPr>
          <w:ilvl w:val="0"/>
          <w:numId w:val="11"/>
        </w:numPr>
        <w:spacing w:before="0" w:after="120" w:line="300" w:lineRule="auto"/>
      </w:pPr>
      <w:r>
        <w:rPr>
          <w:rFonts w:ascii="Arial" w:hAnsi="Arial" w:eastAsia="微软雅黑" w:cs="Arial"/>
          <w:b/>
          <w:color w:val="7A1024"/>
          <w:sz w:val="22"/>
        </w:rPr>
        <w:t>去残液：</w:t>
      </w:r>
      <w:r>
        <w:rPr>
          <w:rFonts w:ascii="Arial" w:hAnsi="Arial" w:eastAsia="微软雅黑" w:cs="Arial"/>
          <w:color w:val="22252A"/>
          <w:sz w:val="22"/>
        </w:rPr>
        <w:t>末次洗涤后尽量去净上清，但不要让磁珠干燥。残留过多洗液会稀释 HA peptide 并降低洗脱效率。</w:t>
      </w:r>
    </w:p>
    <w:p w14:paraId="2321D7A2">
      <w:pPr>
        <w:sectPr>
          <w:pgSz w:w="12240" w:h="15840"/>
          <w:pgMar w:top="1440" w:right="1440" w:bottom="1440" w:left="1440" w:header="708" w:footer="708" w:gutter="0"/>
          <w:pgNumType w:fmt="decimal"/>
          <w:cols w:space="720" w:num="1"/>
          <w:docGrid w:linePitch="360" w:charSpace="0"/>
        </w:sectPr>
      </w:pPr>
    </w:p>
    <w:p w14:paraId="64CA5915">
      <w:pPr>
        <w:pStyle w:val="4"/>
        <w:keepNext w:val="0"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</w:pPr>
      <w:r>
        <w:rPr>
          <w:rFonts w:hint="eastAsia" w:ascii="Arial" w:hAnsi="Arial" w:eastAsia="微软雅黑" w:cs="Arial"/>
          <w:b/>
          <w:color w:val="B31B34"/>
          <w:sz w:val="26"/>
          <w:lang w:val="en-US" w:eastAsia="zh-CN"/>
        </w:rPr>
        <w:t xml:space="preserve">5.5 </w:t>
      </w:r>
      <w:r>
        <w:rPr>
          <w:rFonts w:ascii="Arial" w:hAnsi="Arial" w:eastAsia="微软雅黑" w:cs="Arial"/>
          <w:b/>
          <w:color w:val="B31B34"/>
          <w:sz w:val="26"/>
        </w:rPr>
        <w:t>HA peptide 竞争洗脱（推荐）</w:t>
      </w:r>
    </w:p>
    <w:p w14:paraId="684A541C">
      <w:pPr>
        <w:pStyle w:val="143"/>
        <w:keepLines/>
        <w:numPr>
          <w:ilvl w:val="0"/>
          <w:numId w:val="12"/>
        </w:numPr>
        <w:spacing w:before="0" w:after="120" w:line="300" w:lineRule="auto"/>
      </w:pPr>
      <w:r>
        <w:rPr>
          <w:rFonts w:ascii="Arial" w:hAnsi="Arial" w:eastAsia="微软雅黑" w:cs="Arial"/>
          <w:b/>
          <w:color w:val="7A1024"/>
          <w:sz w:val="22"/>
        </w:rPr>
        <w:t>加入洗脱液：</w:t>
      </w:r>
      <w:r>
        <w:rPr>
          <w:rFonts w:ascii="Arial" w:hAnsi="Arial" w:eastAsia="微软雅黑" w:cs="Arial"/>
          <w:color w:val="22252A"/>
          <w:sz w:val="22"/>
        </w:rPr>
        <w:t>加入 50 µL 新鲜配制的 1 mg/mL HA peptide（YPYDVPDYA，TBS 或 PBS，pH 7.2–7.6）。</w:t>
      </w:r>
    </w:p>
    <w:p w14:paraId="46FB21A0">
      <w:pPr>
        <w:pStyle w:val="143"/>
        <w:keepLines/>
        <w:numPr>
          <w:ilvl w:val="0"/>
          <w:numId w:val="12"/>
        </w:numPr>
        <w:spacing w:before="0" w:after="120" w:line="300" w:lineRule="auto"/>
      </w:pPr>
      <w:r>
        <w:rPr>
          <w:rFonts w:ascii="Arial" w:hAnsi="Arial" w:eastAsia="微软雅黑" w:cs="Arial"/>
          <w:b/>
          <w:color w:val="7A1024"/>
          <w:sz w:val="22"/>
        </w:rPr>
        <w:t>充分重悬：</w:t>
      </w:r>
      <w:r>
        <w:rPr>
          <w:rFonts w:ascii="Arial" w:hAnsi="Arial" w:eastAsia="微软雅黑" w:cs="Arial"/>
          <w:color w:val="22252A"/>
          <w:sz w:val="22"/>
        </w:rPr>
        <w:t>轻柔吹打使磁珠完全悬浮，</w:t>
      </w:r>
      <w:r>
        <w:rPr>
          <w:rFonts w:hint="eastAsia" w:cs="Arial"/>
          <w:color w:val="22252A"/>
          <w:sz w:val="22"/>
          <w:lang w:val="en-US" w:eastAsia="zh-CN"/>
        </w:rPr>
        <w:t xml:space="preserve">37℃ </w:t>
      </w:r>
      <w:r>
        <w:rPr>
          <w:rFonts w:ascii="Arial" w:hAnsi="Arial" w:eastAsia="微软雅黑" w:cs="Arial"/>
          <w:color w:val="22252A"/>
          <w:sz w:val="22"/>
        </w:rPr>
        <w:t>端对端混匀 30 分钟。对于温度敏感复合物，可改为 4°C 60 分钟，但可能需要二次洗脱。</w:t>
      </w:r>
    </w:p>
    <w:p w14:paraId="75B28D29">
      <w:pPr>
        <w:pStyle w:val="143"/>
        <w:keepLines/>
        <w:numPr>
          <w:ilvl w:val="0"/>
          <w:numId w:val="12"/>
        </w:numPr>
        <w:spacing w:before="0" w:after="120" w:line="300" w:lineRule="auto"/>
      </w:pPr>
      <w:r>
        <w:rPr>
          <w:rFonts w:ascii="Arial" w:hAnsi="Arial" w:eastAsia="微软雅黑" w:cs="Arial"/>
          <w:b/>
          <w:color w:val="7A1024"/>
          <w:sz w:val="22"/>
        </w:rPr>
        <w:t>收集 Elution 1：</w:t>
      </w:r>
      <w:r>
        <w:rPr>
          <w:rFonts w:ascii="Arial" w:hAnsi="Arial" w:eastAsia="微软雅黑" w:cs="Arial"/>
          <w:color w:val="22252A"/>
          <w:sz w:val="22"/>
        </w:rPr>
        <w:t>置于磁力架直至上清完全澄清，转移上清至新低吸附管；必要时对收集液再磁分离一次，以去除少量随液带出的 1–5 µm 磁珠。</w:t>
      </w:r>
    </w:p>
    <w:p w14:paraId="16A2BBD5">
      <w:pPr>
        <w:pStyle w:val="143"/>
        <w:keepLines/>
        <w:numPr>
          <w:ilvl w:val="0"/>
          <w:numId w:val="12"/>
        </w:numPr>
        <w:spacing w:before="0" w:after="120" w:line="300" w:lineRule="auto"/>
      </w:pPr>
      <w:r>
        <w:rPr>
          <w:rFonts w:ascii="Arial" w:hAnsi="Arial" w:eastAsia="微软雅黑" w:cs="Arial"/>
          <w:b/>
          <w:color w:val="7A1024"/>
          <w:sz w:val="22"/>
        </w:rPr>
        <w:t>二次洗脱（可选）：</w:t>
      </w:r>
      <w:r>
        <w:rPr>
          <w:rFonts w:ascii="Arial" w:hAnsi="Arial" w:eastAsia="微软雅黑" w:cs="Arial"/>
          <w:color w:val="22252A"/>
          <w:sz w:val="22"/>
        </w:rPr>
        <w:t>为提高总回收率，再加入 30–50 µL 1 mg/mL HA peptide，室温混匀 10–20 分钟并收集 Elution 2。可分别分析或合并。</w:t>
      </w:r>
    </w:p>
    <w:p w14:paraId="324066F9">
      <w:pPr>
        <w:pStyle w:val="143"/>
        <w:keepLines/>
        <w:numPr>
          <w:ilvl w:val="0"/>
          <w:numId w:val="12"/>
        </w:numPr>
        <w:spacing w:before="0" w:after="120" w:line="300" w:lineRule="auto"/>
      </w:pPr>
      <w:r>
        <w:rPr>
          <w:rFonts w:ascii="Arial" w:hAnsi="Arial" w:eastAsia="微软雅黑" w:cs="Arial"/>
          <w:b/>
          <w:color w:val="7A1024"/>
          <w:sz w:val="22"/>
        </w:rPr>
        <w:t>增强条件：</w:t>
      </w:r>
      <w:r>
        <w:rPr>
          <w:rFonts w:ascii="Arial" w:hAnsi="Arial" w:eastAsia="微软雅黑" w:cs="Arial"/>
          <w:color w:val="22252A"/>
          <w:sz w:val="22"/>
        </w:rPr>
        <w:t>若两次 1 mg/mL 洗脱后仍有明显目标残留，可将 HA peptide 提高至 2 mg/mL，或在</w:t>
      </w:r>
      <w:r>
        <w:rPr>
          <w:rFonts w:hint="eastAsia" w:cs="Arial"/>
          <w:color w:val="22252A"/>
          <w:sz w:val="22"/>
          <w:lang w:val="en-US" w:eastAsia="zh-CN"/>
        </w:rPr>
        <w:t>37℃</w:t>
      </w:r>
      <w:r>
        <w:rPr>
          <w:rFonts w:ascii="Arial" w:hAnsi="Arial" w:eastAsia="微软雅黑" w:cs="Arial"/>
          <w:color w:val="22252A"/>
          <w:sz w:val="22"/>
        </w:rPr>
        <w:t xml:space="preserve">延长至 </w:t>
      </w:r>
      <w:r>
        <w:rPr>
          <w:rFonts w:hint="eastAsia" w:cs="Arial"/>
          <w:color w:val="22252A"/>
          <w:sz w:val="22"/>
          <w:lang w:val="en-US" w:eastAsia="zh-CN"/>
        </w:rPr>
        <w:t>60</w:t>
      </w:r>
      <w:r>
        <w:rPr>
          <w:rFonts w:ascii="Arial" w:hAnsi="Arial" w:eastAsia="微软雅黑" w:cs="Arial"/>
          <w:color w:val="22252A"/>
          <w:sz w:val="22"/>
        </w:rPr>
        <w:t>分钟。</w:t>
      </w:r>
    </w:p>
    <w:tbl>
      <w:tblPr>
        <w:tblStyle w:val="32"/>
        <w:tblW w:w="9360" w:type="dxa"/>
        <w:tblInd w:w="18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0"/>
      </w:tblGrid>
      <w:tr w14:paraId="38BEC5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360" w:type="dxa"/>
            <w:tcBorders>
              <w:top w:val="nil"/>
              <w:left w:val="single" w:color="8A5A00" w:sz="18" w:space="0"/>
              <w:bottom w:val="nil"/>
              <w:right w:val="nil"/>
            </w:tcBorders>
            <w:shd w:val="clear" w:color="auto" w:fill="FFF7E4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00C391E">
            <w:pPr>
              <w:spacing w:before="40" w:after="40" w:line="283" w:lineRule="auto"/>
            </w:pPr>
            <w:r>
              <w:rPr>
                <w:rFonts w:ascii="Arial" w:hAnsi="Arial" w:eastAsia="微软雅黑" w:cs="Arial"/>
                <w:b/>
                <w:color w:val="8A5A00"/>
                <w:sz w:val="20"/>
              </w:rPr>
              <w:t xml:space="preserve">洗脱后的定量  </w:t>
            </w:r>
            <w:r>
              <w:rPr>
                <w:rFonts w:ascii="Arial" w:hAnsi="Arial" w:eastAsia="微软雅黑" w:cs="Arial"/>
                <w:color w:val="22252A"/>
                <w:sz w:val="20"/>
              </w:rPr>
              <w:t>游离 HA peptide 在 280 nm 有吸收，并可能影响部分基于肽键或染料结合的蛋白测定。不要直接把 A280/BCA/Bradford 的读数当作目标蛋白量。需要准确测定或进行质谱、再次 HA 亲和步骤时，建议先脱盐、透析或超滤去除游离肽。</w:t>
            </w:r>
          </w:p>
        </w:tc>
      </w:tr>
    </w:tbl>
    <w:p w14:paraId="6004DCAC">
      <w:pPr>
        <w:sectPr>
          <w:pgSz w:w="12240" w:h="15840"/>
          <w:pgMar w:top="1440" w:right="1440" w:bottom="1440" w:left="1440" w:header="708" w:footer="708" w:gutter="0"/>
          <w:pgNumType w:fmt="decimal"/>
          <w:cols w:space="720" w:num="1"/>
          <w:docGrid w:linePitch="360" w:charSpace="0"/>
        </w:sectPr>
      </w:pPr>
    </w:p>
    <w:p w14:paraId="785C374B">
      <w:pPr>
        <w:pStyle w:val="3"/>
        <w:keepNext w:val="0"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</w:pPr>
      <w:r>
        <w:rPr>
          <w:rFonts w:hint="eastAsia" w:ascii="Arial" w:hAnsi="Arial" w:eastAsia="微软雅黑" w:cs="Arial"/>
          <w:b/>
          <w:color w:val="B31B34"/>
          <w:sz w:val="32"/>
          <w:lang w:val="en-US" w:eastAsia="zh-CN"/>
        </w:rPr>
        <w:t xml:space="preserve">6. </w:t>
      </w:r>
      <w:r>
        <w:rPr>
          <w:rFonts w:ascii="Arial" w:hAnsi="Arial" w:eastAsia="微软雅黑" w:cs="Arial"/>
          <w:b/>
          <w:color w:val="B31B34"/>
          <w:sz w:val="32"/>
        </w:rPr>
        <w:t>推荐条件优化</w:t>
      </w:r>
    </w:p>
    <w:tbl>
      <w:tblPr>
        <w:tblStyle w:val="32"/>
        <w:tblW w:w="9360" w:type="dxa"/>
        <w:tblInd w:w="1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0"/>
        <w:gridCol w:w="4200"/>
        <w:gridCol w:w="2960"/>
      </w:tblGrid>
      <w:tr w14:paraId="2DDC8B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2200" w:type="dxa"/>
            <w:tcBorders>
              <w:top w:val="single" w:color="D9DCE1" w:sz="6" w:space="0"/>
              <w:left w:val="single" w:color="D9DCE1" w:sz="6" w:space="0"/>
              <w:bottom w:val="single" w:color="D9DCE1" w:sz="6" w:space="0"/>
              <w:right w:val="single" w:color="D9DCE1" w:sz="6" w:space="0"/>
            </w:tcBorders>
            <w:shd w:val="clear" w:color="auto" w:fill="FCECE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2C8FCD0">
            <w:pPr>
              <w:spacing w:before="0" w:after="0" w:line="276" w:lineRule="auto"/>
              <w:jc w:val="center"/>
            </w:pPr>
            <w:r>
              <w:rPr>
                <w:rFonts w:ascii="Arial" w:hAnsi="Arial" w:eastAsia="微软雅黑" w:cs="Arial"/>
                <w:b/>
                <w:color w:val="7A1024"/>
                <w:sz w:val="20"/>
              </w:rPr>
              <w:t>实验目标/现象</w:t>
            </w:r>
          </w:p>
        </w:tc>
        <w:tc>
          <w:tcPr>
            <w:tcW w:w="4200" w:type="dxa"/>
            <w:tcBorders>
              <w:top w:val="single" w:color="D9DCE1" w:sz="6" w:space="0"/>
              <w:left w:val="single" w:color="D9DCE1" w:sz="6" w:space="0"/>
              <w:bottom w:val="single" w:color="D9DCE1" w:sz="6" w:space="0"/>
              <w:right w:val="single" w:color="D9DCE1" w:sz="6" w:space="0"/>
            </w:tcBorders>
            <w:shd w:val="clear" w:color="auto" w:fill="FCECE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150F843">
            <w:pPr>
              <w:spacing w:before="0" w:after="0" w:line="276" w:lineRule="auto"/>
              <w:jc w:val="center"/>
            </w:pPr>
            <w:r>
              <w:rPr>
                <w:rFonts w:ascii="Arial" w:hAnsi="Arial" w:eastAsia="微软雅黑" w:cs="Arial"/>
                <w:b/>
                <w:color w:val="7A1024"/>
                <w:sz w:val="20"/>
              </w:rPr>
              <w:t>优先调整</w:t>
            </w:r>
          </w:p>
        </w:tc>
        <w:tc>
          <w:tcPr>
            <w:tcW w:w="2960" w:type="dxa"/>
            <w:tcBorders>
              <w:top w:val="single" w:color="D9DCE1" w:sz="6" w:space="0"/>
              <w:left w:val="single" w:color="D9DCE1" w:sz="6" w:space="0"/>
              <w:bottom w:val="single" w:color="D9DCE1" w:sz="6" w:space="0"/>
              <w:right w:val="single" w:color="D9DCE1" w:sz="6" w:space="0"/>
            </w:tcBorders>
            <w:shd w:val="clear" w:color="auto" w:fill="FCECE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52CF03D">
            <w:pPr>
              <w:spacing w:before="0" w:after="0" w:line="276" w:lineRule="auto"/>
              <w:jc w:val="center"/>
            </w:pPr>
            <w:r>
              <w:rPr>
                <w:rFonts w:ascii="Arial" w:hAnsi="Arial" w:eastAsia="微软雅黑" w:cs="Arial"/>
                <w:b/>
                <w:color w:val="7A1024"/>
                <w:sz w:val="20"/>
              </w:rPr>
              <w:t>不建议的第一反应</w:t>
            </w:r>
          </w:p>
        </w:tc>
      </w:tr>
      <w:tr w14:paraId="78B5EA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00" w:type="dxa"/>
            <w:tcBorders>
              <w:top w:val="single" w:color="D9DCE1" w:sz="6" w:space="0"/>
              <w:left w:val="single" w:color="D9DCE1" w:sz="6" w:space="0"/>
              <w:bottom w:val="single" w:color="D9DCE1" w:sz="6" w:space="0"/>
              <w:right w:val="single" w:color="D9DCE1" w:sz="6" w:space="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C4AAFE5">
            <w:pPr>
              <w:spacing w:before="0" w:after="0" w:line="276" w:lineRule="auto"/>
              <w:jc w:val="left"/>
            </w:pPr>
            <w:r>
              <w:rPr>
                <w:rFonts w:ascii="Arial" w:hAnsi="Arial" w:eastAsia="微软雅黑" w:cs="Arial"/>
                <w:b w:val="0"/>
                <w:color w:val="22252A"/>
                <w:sz w:val="18"/>
              </w:rPr>
              <w:t>提高总回收率</w:t>
            </w:r>
          </w:p>
        </w:tc>
        <w:tc>
          <w:tcPr>
            <w:tcW w:w="4200" w:type="dxa"/>
            <w:tcBorders>
              <w:top w:val="single" w:color="D9DCE1" w:sz="6" w:space="0"/>
              <w:left w:val="single" w:color="D9DCE1" w:sz="6" w:space="0"/>
              <w:bottom w:val="single" w:color="D9DCE1" w:sz="6" w:space="0"/>
              <w:right w:val="single" w:color="D9DCE1" w:sz="6" w:space="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A87CE6D">
            <w:pPr>
              <w:spacing w:before="0" w:after="0" w:line="276" w:lineRule="auto"/>
              <w:jc w:val="left"/>
            </w:pPr>
            <w:r>
              <w:rPr>
                <w:rFonts w:ascii="Arial" w:hAnsi="Arial" w:eastAsia="微软雅黑" w:cs="Arial"/>
                <w:b w:val="0"/>
                <w:color w:val="22252A"/>
                <w:sz w:val="18"/>
              </w:rPr>
              <w:t>保留并分析 Flow-through；做第二次肽洗脱；必要时改用 2 mg/mL HA peptide</w:t>
            </w:r>
          </w:p>
        </w:tc>
        <w:tc>
          <w:tcPr>
            <w:tcW w:w="2960" w:type="dxa"/>
            <w:tcBorders>
              <w:top w:val="single" w:color="D9DCE1" w:sz="6" w:space="0"/>
              <w:left w:val="single" w:color="D9DCE1" w:sz="6" w:space="0"/>
              <w:bottom w:val="single" w:color="D9DCE1" w:sz="6" w:space="0"/>
              <w:right w:val="single" w:color="D9DCE1" w:sz="6" w:space="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E1C1E99">
            <w:pPr>
              <w:spacing w:before="0" w:after="0" w:line="276" w:lineRule="auto"/>
              <w:jc w:val="left"/>
            </w:pPr>
            <w:r>
              <w:rPr>
                <w:rFonts w:ascii="Arial" w:hAnsi="Arial" w:eastAsia="微软雅黑" w:cs="Arial"/>
                <w:b w:val="0"/>
                <w:color w:val="22252A"/>
                <w:sz w:val="18"/>
              </w:rPr>
              <w:t>直接把结合时间延长到过夜</w:t>
            </w:r>
          </w:p>
        </w:tc>
      </w:tr>
      <w:tr w14:paraId="41B487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00" w:type="dxa"/>
            <w:tcBorders>
              <w:top w:val="single" w:color="D9DCE1" w:sz="6" w:space="0"/>
              <w:left w:val="single" w:color="D9DCE1" w:sz="6" w:space="0"/>
              <w:bottom w:val="single" w:color="D9DCE1" w:sz="6" w:space="0"/>
              <w:right w:val="single" w:color="D9DCE1" w:sz="6" w:space="0"/>
            </w:tcBorders>
            <w:shd w:val="clear" w:color="auto" w:fill="FCFCFD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8A434CA">
            <w:pPr>
              <w:spacing w:before="0" w:after="0" w:line="276" w:lineRule="auto"/>
              <w:jc w:val="left"/>
            </w:pPr>
            <w:r>
              <w:rPr>
                <w:rFonts w:ascii="Arial" w:hAnsi="Arial" w:eastAsia="微软雅黑" w:cs="Arial"/>
                <w:b w:val="0"/>
                <w:color w:val="22252A"/>
                <w:sz w:val="18"/>
              </w:rPr>
              <w:t>提高洗脱浓度</w:t>
            </w:r>
          </w:p>
        </w:tc>
        <w:tc>
          <w:tcPr>
            <w:tcW w:w="4200" w:type="dxa"/>
            <w:tcBorders>
              <w:top w:val="single" w:color="D9DCE1" w:sz="6" w:space="0"/>
              <w:left w:val="single" w:color="D9DCE1" w:sz="6" w:space="0"/>
              <w:bottom w:val="single" w:color="D9DCE1" w:sz="6" w:space="0"/>
              <w:right w:val="single" w:color="D9DCE1" w:sz="6" w:space="0"/>
            </w:tcBorders>
            <w:shd w:val="clear" w:color="auto" w:fill="FCFCFD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051C55E">
            <w:pPr>
              <w:spacing w:before="0" w:after="0" w:line="276" w:lineRule="auto"/>
              <w:jc w:val="left"/>
            </w:pPr>
            <w:r>
              <w:rPr>
                <w:rFonts w:ascii="Arial" w:hAnsi="Arial" w:eastAsia="微软雅黑" w:cs="Arial"/>
                <w:b w:val="0"/>
                <w:color w:val="22252A"/>
                <w:sz w:val="18"/>
              </w:rPr>
              <w:t>单次使用 30–50 µL 洗脱液；减少残留洗液；洗脱后超滤浓缩</w:t>
            </w:r>
          </w:p>
        </w:tc>
        <w:tc>
          <w:tcPr>
            <w:tcW w:w="2960" w:type="dxa"/>
            <w:tcBorders>
              <w:top w:val="single" w:color="D9DCE1" w:sz="6" w:space="0"/>
              <w:left w:val="single" w:color="D9DCE1" w:sz="6" w:space="0"/>
              <w:bottom w:val="single" w:color="D9DCE1" w:sz="6" w:space="0"/>
              <w:right w:val="single" w:color="D9DCE1" w:sz="6" w:space="0"/>
            </w:tcBorders>
            <w:shd w:val="clear" w:color="auto" w:fill="FCFCFD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42D4CFC">
            <w:pPr>
              <w:spacing w:before="0" w:after="0" w:line="276" w:lineRule="auto"/>
              <w:jc w:val="left"/>
            </w:pPr>
            <w:r>
              <w:rPr>
                <w:rFonts w:ascii="Arial" w:hAnsi="Arial" w:eastAsia="微软雅黑" w:cs="Arial"/>
                <w:b w:val="0"/>
                <w:color w:val="22252A"/>
                <w:sz w:val="18"/>
              </w:rPr>
              <w:t>无限减少洗脱体积，导致磁珠无法完全悬浮</w:t>
            </w:r>
          </w:p>
        </w:tc>
      </w:tr>
      <w:tr w14:paraId="2D46C7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00" w:type="dxa"/>
            <w:tcBorders>
              <w:top w:val="single" w:color="D9DCE1" w:sz="6" w:space="0"/>
              <w:left w:val="single" w:color="D9DCE1" w:sz="6" w:space="0"/>
              <w:bottom w:val="single" w:color="D9DCE1" w:sz="6" w:space="0"/>
              <w:right w:val="single" w:color="D9DCE1" w:sz="6" w:space="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F321FF4">
            <w:pPr>
              <w:spacing w:before="0" w:after="0" w:line="276" w:lineRule="auto"/>
              <w:jc w:val="left"/>
            </w:pPr>
            <w:r>
              <w:rPr>
                <w:rFonts w:ascii="Arial" w:hAnsi="Arial" w:eastAsia="微软雅黑" w:cs="Arial"/>
                <w:b w:val="0"/>
                <w:color w:val="22252A"/>
                <w:sz w:val="18"/>
              </w:rPr>
              <w:t>降低非特异背景</w:t>
            </w:r>
          </w:p>
        </w:tc>
        <w:tc>
          <w:tcPr>
            <w:tcW w:w="4200" w:type="dxa"/>
            <w:tcBorders>
              <w:top w:val="single" w:color="D9DCE1" w:sz="6" w:space="0"/>
              <w:left w:val="single" w:color="D9DCE1" w:sz="6" w:space="0"/>
              <w:bottom w:val="single" w:color="D9DCE1" w:sz="6" w:space="0"/>
              <w:right w:val="single" w:color="D9DCE1" w:sz="6" w:space="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66E675E">
            <w:pPr>
              <w:spacing w:before="0" w:after="0" w:line="276" w:lineRule="auto"/>
              <w:jc w:val="left"/>
            </w:pPr>
            <w:r>
              <w:rPr>
                <w:rFonts w:ascii="Arial" w:hAnsi="Arial" w:eastAsia="微软雅黑" w:cs="Arial"/>
                <w:b w:val="0"/>
                <w:color w:val="22252A"/>
                <w:sz w:val="18"/>
              </w:rPr>
              <w:t>缩短结合至 1 小时；末次洗涤换管；增加至 4–5 次洗涤；在复合物允许时提高盐浓度</w:t>
            </w:r>
          </w:p>
        </w:tc>
        <w:tc>
          <w:tcPr>
            <w:tcW w:w="2960" w:type="dxa"/>
            <w:tcBorders>
              <w:top w:val="single" w:color="D9DCE1" w:sz="6" w:space="0"/>
              <w:left w:val="single" w:color="D9DCE1" w:sz="6" w:space="0"/>
              <w:bottom w:val="single" w:color="D9DCE1" w:sz="6" w:space="0"/>
              <w:right w:val="single" w:color="D9DCE1" w:sz="6" w:space="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411852E">
            <w:pPr>
              <w:spacing w:before="0" w:after="0" w:line="276" w:lineRule="auto"/>
              <w:jc w:val="left"/>
            </w:pPr>
            <w:r>
              <w:rPr>
                <w:rFonts w:ascii="Arial" w:hAnsi="Arial" w:eastAsia="微软雅黑" w:cs="Arial"/>
                <w:b w:val="0"/>
                <w:color w:val="22252A"/>
                <w:sz w:val="18"/>
              </w:rPr>
              <w:t>盲目增加磁珠量或使用过夜结合</w:t>
            </w:r>
          </w:p>
        </w:tc>
      </w:tr>
      <w:tr w14:paraId="572B93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00" w:type="dxa"/>
            <w:tcBorders>
              <w:top w:val="single" w:color="D9DCE1" w:sz="6" w:space="0"/>
              <w:left w:val="single" w:color="D9DCE1" w:sz="6" w:space="0"/>
              <w:bottom w:val="single" w:color="D9DCE1" w:sz="6" w:space="0"/>
              <w:right w:val="single" w:color="D9DCE1" w:sz="6" w:space="0"/>
            </w:tcBorders>
            <w:shd w:val="clear" w:color="auto" w:fill="FCFCFD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78DA086">
            <w:pPr>
              <w:spacing w:before="0" w:after="0" w:line="276" w:lineRule="auto"/>
              <w:jc w:val="left"/>
            </w:pPr>
            <w:r>
              <w:rPr>
                <w:rFonts w:ascii="Arial" w:hAnsi="Arial" w:eastAsia="微软雅黑" w:cs="Arial"/>
                <w:b w:val="0"/>
                <w:color w:val="22252A"/>
                <w:sz w:val="18"/>
              </w:rPr>
              <w:t>保留弱/瞬时复合物</w:t>
            </w:r>
          </w:p>
        </w:tc>
        <w:tc>
          <w:tcPr>
            <w:tcW w:w="4200" w:type="dxa"/>
            <w:tcBorders>
              <w:top w:val="single" w:color="D9DCE1" w:sz="6" w:space="0"/>
              <w:left w:val="single" w:color="D9DCE1" w:sz="6" w:space="0"/>
              <w:bottom w:val="single" w:color="D9DCE1" w:sz="6" w:space="0"/>
              <w:right w:val="single" w:color="D9DCE1" w:sz="6" w:space="0"/>
            </w:tcBorders>
            <w:shd w:val="clear" w:color="auto" w:fill="FCFCFD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AAE60FB">
            <w:pPr>
              <w:spacing w:before="0" w:after="0" w:line="276" w:lineRule="auto"/>
              <w:jc w:val="left"/>
            </w:pPr>
            <w:r>
              <w:rPr>
                <w:rFonts w:ascii="Arial" w:hAnsi="Arial" w:eastAsia="微软雅黑" w:cs="Arial"/>
                <w:b w:val="0"/>
                <w:color w:val="22252A"/>
                <w:sz w:val="18"/>
              </w:rPr>
              <w:t>0.1–0.3% 温和去污剂；150 mM NaCl；3 次快速洗涤；全程 4°C</w:t>
            </w:r>
          </w:p>
        </w:tc>
        <w:tc>
          <w:tcPr>
            <w:tcW w:w="2960" w:type="dxa"/>
            <w:tcBorders>
              <w:top w:val="single" w:color="D9DCE1" w:sz="6" w:space="0"/>
              <w:left w:val="single" w:color="D9DCE1" w:sz="6" w:space="0"/>
              <w:bottom w:val="single" w:color="D9DCE1" w:sz="6" w:space="0"/>
              <w:right w:val="single" w:color="D9DCE1" w:sz="6" w:space="0"/>
            </w:tcBorders>
            <w:shd w:val="clear" w:color="auto" w:fill="FCFCFD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B184E30">
            <w:pPr>
              <w:spacing w:before="0" w:after="0" w:line="276" w:lineRule="auto"/>
              <w:jc w:val="left"/>
            </w:pPr>
            <w:r>
              <w:rPr>
                <w:rFonts w:ascii="Arial" w:hAnsi="Arial" w:eastAsia="微软雅黑" w:cs="Arial"/>
                <w:b w:val="0"/>
                <w:color w:val="22252A"/>
                <w:sz w:val="18"/>
              </w:rPr>
              <w:t>RIPA、300–500 mM NaCl 或长时间洗涤</w:t>
            </w:r>
          </w:p>
        </w:tc>
      </w:tr>
      <w:tr w14:paraId="61247E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00" w:type="dxa"/>
            <w:tcBorders>
              <w:top w:val="single" w:color="D9DCE1" w:sz="6" w:space="0"/>
              <w:left w:val="single" w:color="D9DCE1" w:sz="6" w:space="0"/>
              <w:bottom w:val="single" w:color="D9DCE1" w:sz="6" w:space="0"/>
              <w:right w:val="single" w:color="D9DCE1" w:sz="6" w:space="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4333DC5">
            <w:pPr>
              <w:spacing w:before="0" w:after="0" w:line="276" w:lineRule="auto"/>
              <w:jc w:val="left"/>
            </w:pPr>
            <w:r>
              <w:rPr>
                <w:rFonts w:ascii="Arial" w:hAnsi="Arial" w:eastAsia="微软雅黑" w:cs="Arial"/>
                <w:b w:val="0"/>
                <w:color w:val="22252A"/>
                <w:sz w:val="18"/>
              </w:rPr>
              <w:t>处理高表达目标</w:t>
            </w:r>
          </w:p>
        </w:tc>
        <w:tc>
          <w:tcPr>
            <w:tcW w:w="4200" w:type="dxa"/>
            <w:tcBorders>
              <w:top w:val="single" w:color="D9DCE1" w:sz="6" w:space="0"/>
              <w:left w:val="single" w:color="D9DCE1" w:sz="6" w:space="0"/>
              <w:bottom w:val="single" w:color="D9DCE1" w:sz="6" w:space="0"/>
              <w:right w:val="single" w:color="D9DCE1" w:sz="6" w:space="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EE5F339">
            <w:pPr>
              <w:spacing w:before="0" w:after="0" w:line="276" w:lineRule="auto"/>
              <w:jc w:val="left"/>
            </w:pPr>
            <w:r>
              <w:rPr>
                <w:rFonts w:ascii="Arial" w:hAnsi="Arial" w:eastAsia="微软雅黑" w:cs="Arial"/>
                <w:b w:val="0"/>
                <w:color w:val="22252A"/>
                <w:sz w:val="18"/>
              </w:rPr>
              <w:t>依据 &gt;20 µg/50 µL slurry 的标称容量按比例增加磁珠；同步放大洗脱液</w:t>
            </w:r>
          </w:p>
        </w:tc>
        <w:tc>
          <w:tcPr>
            <w:tcW w:w="2960" w:type="dxa"/>
            <w:tcBorders>
              <w:top w:val="single" w:color="D9DCE1" w:sz="6" w:space="0"/>
              <w:left w:val="single" w:color="D9DCE1" w:sz="6" w:space="0"/>
              <w:bottom w:val="single" w:color="D9DCE1" w:sz="6" w:space="0"/>
              <w:right w:val="single" w:color="D9DCE1" w:sz="6" w:space="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0123129">
            <w:pPr>
              <w:spacing w:before="0" w:after="0" w:line="276" w:lineRule="auto"/>
              <w:jc w:val="left"/>
            </w:pPr>
            <w:r>
              <w:rPr>
                <w:rFonts w:ascii="Arial" w:hAnsi="Arial" w:eastAsia="微软雅黑" w:cs="Arial"/>
                <w:b w:val="0"/>
                <w:color w:val="22252A"/>
                <w:sz w:val="18"/>
              </w:rPr>
              <w:t>只增加裂解液体积而不核算目标量</w:t>
            </w:r>
          </w:p>
        </w:tc>
      </w:tr>
      <w:tr w14:paraId="66C1C9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00" w:type="dxa"/>
            <w:tcBorders>
              <w:top w:val="single" w:color="D9DCE1" w:sz="6" w:space="0"/>
              <w:left w:val="single" w:color="D9DCE1" w:sz="6" w:space="0"/>
              <w:bottom w:val="single" w:color="D9DCE1" w:sz="6" w:space="0"/>
              <w:right w:val="single" w:color="D9DCE1" w:sz="6" w:space="0"/>
            </w:tcBorders>
            <w:shd w:val="clear" w:color="auto" w:fill="FCFCFD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20ECDBD">
            <w:pPr>
              <w:spacing w:before="0" w:after="0" w:line="276" w:lineRule="auto"/>
              <w:jc w:val="left"/>
            </w:pPr>
            <w:r>
              <w:rPr>
                <w:rFonts w:ascii="Arial" w:hAnsi="Arial" w:eastAsia="微软雅黑" w:cs="Arial"/>
                <w:b w:val="0"/>
                <w:color w:val="22252A"/>
                <w:sz w:val="18"/>
              </w:rPr>
              <w:t>提高批间重复性</w:t>
            </w:r>
          </w:p>
        </w:tc>
        <w:tc>
          <w:tcPr>
            <w:tcW w:w="4200" w:type="dxa"/>
            <w:tcBorders>
              <w:top w:val="single" w:color="D9DCE1" w:sz="6" w:space="0"/>
              <w:left w:val="single" w:color="D9DCE1" w:sz="6" w:space="0"/>
              <w:bottom w:val="single" w:color="D9DCE1" w:sz="6" w:space="0"/>
              <w:right w:val="single" w:color="D9DCE1" w:sz="6" w:space="0"/>
            </w:tcBorders>
            <w:shd w:val="clear" w:color="auto" w:fill="FCFCFD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D306EE8">
            <w:pPr>
              <w:spacing w:before="0" w:after="0" w:line="276" w:lineRule="auto"/>
              <w:jc w:val="left"/>
            </w:pPr>
            <w:r>
              <w:rPr>
                <w:rFonts w:ascii="Arial" w:hAnsi="Arial" w:eastAsia="微软雅黑" w:cs="Arial"/>
                <w:b w:val="0"/>
                <w:color w:val="22252A"/>
                <w:sz w:val="18"/>
              </w:rPr>
              <w:t>固定混匀方式、取珠枪头、样品总蛋白、结合时间、洗涤体积和磁分离终点</w:t>
            </w:r>
          </w:p>
        </w:tc>
        <w:tc>
          <w:tcPr>
            <w:tcW w:w="2960" w:type="dxa"/>
            <w:tcBorders>
              <w:top w:val="single" w:color="D9DCE1" w:sz="6" w:space="0"/>
              <w:left w:val="single" w:color="D9DCE1" w:sz="6" w:space="0"/>
              <w:bottom w:val="single" w:color="D9DCE1" w:sz="6" w:space="0"/>
              <w:right w:val="single" w:color="D9DCE1" w:sz="6" w:space="0"/>
            </w:tcBorders>
            <w:shd w:val="clear" w:color="auto" w:fill="FCFCFD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DCCCA24">
            <w:pPr>
              <w:spacing w:before="0" w:after="0" w:line="276" w:lineRule="auto"/>
              <w:jc w:val="left"/>
            </w:pPr>
            <w:r>
              <w:rPr>
                <w:rFonts w:ascii="Arial" w:hAnsi="Arial" w:eastAsia="微软雅黑" w:cs="Arial"/>
                <w:b w:val="0"/>
                <w:color w:val="22252A"/>
                <w:sz w:val="18"/>
              </w:rPr>
              <w:t>以肉眼大致估计 slurry 体积或忽略磁珠沉降</w:t>
            </w:r>
          </w:p>
        </w:tc>
      </w:tr>
    </w:tbl>
    <w:p w14:paraId="587413FD">
      <w:pPr>
        <w:spacing w:before="0" w:after="60" w:line="96" w:lineRule="auto"/>
      </w:pPr>
    </w:p>
    <w:p w14:paraId="5661370F">
      <w:pPr>
        <w:spacing w:after="0"/>
        <w:jc w:val="center"/>
      </w:pPr>
    </w:p>
    <w:sectPr>
      <w:pgSz w:w="12240" w:h="15840"/>
      <w:pgMar w:top="1440" w:right="1440" w:bottom="1440" w:left="1440" w:header="708" w:footer="708" w:gutter="0"/>
      <w:pgNumType w:fmt="decimal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EF5908">
    <w:pPr>
      <w:pStyle w:val="24"/>
      <w:tabs>
        <w:tab w:val="left" w:pos="9360"/>
      </w:tabs>
      <w:spacing w:before="0" w:after="0"/>
    </w:pPr>
    <w:r>
      <w:rPr>
        <w:sz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251B515">
                          <w:pPr>
                            <w:pStyle w:val="2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251B515">
                    <w:pPr>
                      <w:pStyle w:val="2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00" w:lineRule="auto"/>
      </w:pPr>
      <w:r>
        <w:separator/>
      </w:r>
    </w:p>
  </w:footnote>
  <w:footnote w:type="continuationSeparator" w:id="1">
    <w:p>
      <w:pPr>
        <w:spacing w:before="0" w:after="0" w:line="30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7B1271">
    <w:pPr>
      <w:pStyle w:val="25"/>
      <w:jc w:val="center"/>
      <w:rPr>
        <w:sz w:val="18"/>
        <w:szCs w:val="18"/>
        <w:lang w:eastAsia="zh-CN"/>
      </w:rPr>
    </w:pPr>
    <w:r>
      <w:rPr>
        <w:b/>
        <w:color w:val="A61E2D"/>
        <w:sz w:val="18"/>
        <w:szCs w:val="18"/>
        <w:lang w:eastAsia="zh-CN"/>
      </w:rPr>
      <w:t>RedConju</w:t>
    </w:r>
    <w:r>
      <w:rPr>
        <w:color w:val="66717D"/>
        <w:sz w:val="18"/>
        <w:szCs w:val="18"/>
        <w:lang w:eastAsia="zh-CN"/>
      </w:rPr>
      <w:t xml:space="preserve">  |</w:t>
    </w:r>
    <w:r>
      <w:rPr>
        <w:rFonts w:hint="eastAsia"/>
        <w:color w:val="66717D"/>
        <w:sz w:val="18"/>
        <w:szCs w:val="18"/>
        <w:lang w:eastAsia="zh-CN"/>
      </w:rPr>
      <w:t xml:space="preserve">  </w:t>
    </w:r>
    <w:r>
      <w:rPr>
        <w:sz w:val="18"/>
        <w:szCs w:val="18"/>
        <w:lang w:eastAsia="zh-CN"/>
      </w:rPr>
      <w:t>弘溪联生物科技（</w:t>
    </w:r>
    <w:r>
      <w:rPr>
        <w:rFonts w:hint="eastAsia"/>
        <w:sz w:val="18"/>
        <w:szCs w:val="18"/>
        <w:lang w:eastAsia="zh-CN"/>
      </w:rPr>
      <w:t>上海</w:t>
    </w:r>
    <w:r>
      <w:rPr>
        <w:sz w:val="18"/>
        <w:szCs w:val="18"/>
        <w:lang w:eastAsia="zh-CN"/>
      </w:rPr>
      <w:t>）有限公司</w:t>
    </w:r>
  </w:p>
  <w:p w14:paraId="3636F800">
    <w:pPr>
      <w:spacing w:line="360" w:lineRule="auto"/>
      <w:ind w:firstLine="2700" w:firstLineChars="1500"/>
      <w:jc w:val="both"/>
    </w:pPr>
    <w:r>
      <w:rPr>
        <w:sz w:val="18"/>
        <w:szCs w:val="18"/>
        <w:lang w:eastAsia="zh-CN"/>
      </w:rPr>
      <w:t>地      址：上海市闵行区新骏环路588号22幢A302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E306ED"/>
    <w:multiLevelType w:val="singleLevel"/>
    <w:tmpl w:val="B5E306ED"/>
    <w:lvl w:ilvl="0" w:tentative="0">
      <w:start w:val="1"/>
      <w:numFmt w:val="decimal"/>
      <w:lvlText w:val="%1."/>
      <w:lvlJc w:val="left"/>
      <w:pPr>
        <w:tabs>
          <w:tab w:val="left" w:pos="540"/>
        </w:tabs>
        <w:ind w:left="540" w:hanging="270"/>
      </w:pPr>
      <w:rPr>
        <w:rFonts w:ascii="Arial" w:hAnsi="Arial" w:eastAsia="微软雅黑" w:cs="Arial"/>
        <w:color w:val="22252A"/>
      </w:rPr>
    </w:lvl>
  </w:abstractNum>
  <w:abstractNum w:abstractNumId="1">
    <w:nsid w:val="BF205925"/>
    <w:multiLevelType w:val="singleLevel"/>
    <w:tmpl w:val="BF205925"/>
    <w:lvl w:ilvl="0" w:tentative="0">
      <w:start w:val="1"/>
      <w:numFmt w:val="decimal"/>
      <w:lvlText w:val="%1."/>
      <w:lvlJc w:val="left"/>
      <w:pPr>
        <w:tabs>
          <w:tab w:val="left" w:pos="540"/>
        </w:tabs>
        <w:ind w:left="540" w:hanging="270"/>
      </w:pPr>
      <w:rPr>
        <w:rFonts w:ascii="Arial" w:hAnsi="Arial" w:eastAsia="微软雅黑" w:cs="Arial"/>
        <w:color w:val="22252A"/>
      </w:rPr>
    </w:lvl>
  </w:abstractNum>
  <w:abstractNum w:abstractNumId="2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3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4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5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6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7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abstractNum w:abstractNumId="8">
    <w:nsid w:val="0053208E"/>
    <w:multiLevelType w:val="singleLevel"/>
    <w:tmpl w:val="0053208E"/>
    <w:lvl w:ilvl="0" w:tentative="0">
      <w:start w:val="1"/>
      <w:numFmt w:val="bullet"/>
      <w:lvlText w:val="•"/>
      <w:lvlJc w:val="left"/>
      <w:pPr>
        <w:tabs>
          <w:tab w:val="left" w:pos="540"/>
        </w:tabs>
        <w:ind w:left="540" w:hanging="270"/>
      </w:pPr>
      <w:rPr>
        <w:rFonts w:ascii="Arial" w:hAnsi="Arial" w:eastAsia="微软雅黑" w:cs="Arial"/>
        <w:color w:val="B31B34"/>
      </w:rPr>
    </w:lvl>
  </w:abstractNum>
  <w:abstractNum w:abstractNumId="9">
    <w:nsid w:val="03D62ECE"/>
    <w:multiLevelType w:val="singleLevel"/>
    <w:tmpl w:val="03D62ECE"/>
    <w:lvl w:ilvl="0" w:tentative="0">
      <w:start w:val="1"/>
      <w:numFmt w:val="decimal"/>
      <w:lvlText w:val="%1."/>
      <w:lvlJc w:val="left"/>
      <w:pPr>
        <w:tabs>
          <w:tab w:val="left" w:pos="540"/>
        </w:tabs>
        <w:ind w:left="540" w:hanging="270"/>
      </w:pPr>
      <w:rPr>
        <w:rFonts w:ascii="Arial" w:hAnsi="Arial" w:eastAsia="微软雅黑" w:cs="Arial"/>
        <w:color w:val="22252A"/>
      </w:rPr>
    </w:lvl>
  </w:abstractNum>
  <w:abstractNum w:abstractNumId="10">
    <w:nsid w:val="25B654F3"/>
    <w:multiLevelType w:val="singleLevel"/>
    <w:tmpl w:val="25B654F3"/>
    <w:lvl w:ilvl="0" w:tentative="0">
      <w:start w:val="1"/>
      <w:numFmt w:val="decimal"/>
      <w:lvlText w:val="%1."/>
      <w:lvlJc w:val="left"/>
      <w:pPr>
        <w:tabs>
          <w:tab w:val="left" w:pos="540"/>
        </w:tabs>
        <w:ind w:left="540" w:hanging="270"/>
      </w:pPr>
      <w:rPr>
        <w:rFonts w:ascii="Arial" w:hAnsi="Arial" w:eastAsia="微软雅黑" w:cs="Arial"/>
        <w:color w:val="22252A"/>
      </w:rPr>
    </w:lvl>
  </w:abstractNum>
  <w:abstractNum w:abstractNumId="11">
    <w:nsid w:val="59ADCABA"/>
    <w:multiLevelType w:val="singleLevel"/>
    <w:tmpl w:val="59ADCABA"/>
    <w:lvl w:ilvl="0" w:tentative="0">
      <w:start w:val="1"/>
      <w:numFmt w:val="decimal"/>
      <w:lvlText w:val="%1."/>
      <w:lvlJc w:val="left"/>
      <w:pPr>
        <w:tabs>
          <w:tab w:val="left" w:pos="540"/>
        </w:tabs>
        <w:ind w:left="540" w:hanging="270"/>
      </w:pPr>
      <w:rPr>
        <w:rFonts w:ascii="Arial" w:hAnsi="Arial" w:eastAsia="微软雅黑" w:cs="Arial"/>
        <w:color w:val="22252A"/>
      </w:r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4"/>
  </w:num>
  <w:num w:numId="5">
    <w:abstractNumId w:val="2"/>
  </w:num>
  <w:num w:numId="6">
    <w:abstractNumId w:val="5"/>
  </w:num>
  <w:num w:numId="7">
    <w:abstractNumId w:val="8"/>
  </w:num>
  <w:num w:numId="8">
    <w:abstractNumId w:val="11"/>
  </w:num>
  <w:num w:numId="9">
    <w:abstractNumId w:val="1"/>
  </w:num>
  <w:num w:numId="10">
    <w:abstractNumId w:val="0"/>
  </w:num>
  <w:num w:numId="11">
    <w:abstractNumId w:val="9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5F54255"/>
    <w:rsid w:val="109951E3"/>
    <w:rsid w:val="36FF1994"/>
    <w:rsid w:val="3D00197A"/>
    <w:rsid w:val="42424E2B"/>
    <w:rsid w:val="4D9329DF"/>
    <w:rsid w:val="523A78CD"/>
    <w:rsid w:val="550D751A"/>
    <w:rsid w:val="59CA7788"/>
    <w:rsid w:val="655820EC"/>
    <w:rsid w:val="742064CB"/>
    <w:rsid w:val="7A044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0" w:after="120" w:line="300" w:lineRule="auto"/>
    </w:pPr>
    <w:rPr>
      <w:rFonts w:ascii="Arial" w:hAnsi="Arial" w:eastAsia="微软雅黑" w:cs="Arial"/>
      <w:color w:val="22252A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360" w:after="200" w:line="252" w:lineRule="auto"/>
      <w:outlineLvl w:val="0"/>
    </w:pPr>
    <w:rPr>
      <w:rFonts w:asciiTheme="majorHAnsi" w:hAnsiTheme="majorHAnsi" w:eastAsiaTheme="majorEastAsia" w:cstheme="majorBidi"/>
      <w:b/>
      <w:bCs/>
      <w:color w:val="B31B34"/>
      <w:sz w:val="32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80" w:after="140" w:line="264" w:lineRule="auto"/>
      <w:outlineLvl w:val="1"/>
    </w:pPr>
    <w:rPr>
      <w:rFonts w:asciiTheme="majorHAnsi" w:hAnsiTheme="majorHAnsi" w:eastAsiaTheme="majorEastAsia" w:cstheme="majorBidi"/>
      <w:b/>
      <w:bCs/>
      <w:color w:val="B31B34"/>
      <w:sz w:val="26"/>
      <w:szCs w:val="26"/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100" w:line="264" w:lineRule="auto"/>
      <w:outlineLvl w:val="2"/>
    </w:pPr>
    <w:rPr>
      <w:rFonts w:asciiTheme="majorHAnsi" w:hAnsiTheme="majorHAnsi" w:eastAsiaTheme="majorEastAsia" w:cstheme="majorBidi"/>
      <w:b/>
      <w:bCs/>
      <w:color w:val="7A1024"/>
      <w:sz w:val="24"/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spacing w:after="80" w:line="300" w:lineRule="auto"/>
      <w:ind w:left="720"/>
      <w:contextualSpacing/>
    </w:pPr>
    <w:rPr>
      <w:rFonts w:ascii="Arial" w:hAnsi="Arial" w:eastAsia="微软雅黑" w:cs="Arial"/>
      <w:color w:val="22252A"/>
      <w:sz w:val="22"/>
    </w:r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450</Words>
  <Characters>615</Characters>
  <Lines>0</Lines>
  <Paragraphs>0</Paragraphs>
  <TotalTime>1</TotalTime>
  <ScaleCrop>false</ScaleCrop>
  <LinksUpToDate>false</LinksUpToDate>
  <CharactersWithSpaces>662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弘溪联生物科技（上海）有限公司</dc:creator>
  <dc:description>RedConju product instructions, Version 1.0</dc:description>
  <cp:keywords>Anti-HA, HA tag, magnetic agarose beads, IP, Co-IP, peptide elution</cp:keywords>
  <cp:lastModifiedBy>十言i</cp:lastModifiedBy>
  <dcterms:modified xsi:type="dcterms:W3CDTF">2026-08-12T09:51:35Z</dcterms:modified>
  <dc:subject>Anti-HA Magnetic Agarose Beads Instructions for Use</dc:subject>
  <dc:title>Anti-HA 琼脂糖磁珠产品说明书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78BB4507F00240418398DF4E0794702E_13</vt:lpwstr>
  </property>
  <property fmtid="{D5CDD505-2E9C-101B-9397-08002B2CF9AE}" pid="4" name="KSOTemplateDocerSaveRecord">
    <vt:lpwstr>eyJoZGlkIjoiMGMwYWY5NjQ3NzdiYzcwNWVlYjA5NWRkNDY3MzZmOWEiLCJ1c2VySWQiOiIzMTQwOTY1OTAifQ==</vt:lpwstr>
  </property>
</Properties>
</file>