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1146B">
      <w:pPr>
        <w:spacing w:before="320" w:after="160"/>
        <w:jc w:val="left"/>
      </w:pPr>
      <w:r>
        <w:rPr>
          <w:rFonts w:ascii="Arial" w:hAnsi="Arial" w:eastAsia="微软雅黑" w:cs="Arial"/>
          <w:b/>
          <w:color w:val="B3202A"/>
          <w:sz w:val="32"/>
          <w:lang w:val="zh-CN" w:eastAsia="zh-CN"/>
        </w:rPr>
        <w:t>RedConju</w:t>
      </w:r>
    </w:p>
    <w:p w14:paraId="767A26CA">
      <w:pPr>
        <w:pStyle w:val="31"/>
        <w:keepNext/>
        <w:keepLines/>
        <w:widowControl/>
        <w:jc w:val="left"/>
      </w:pPr>
      <w:r>
        <w:rPr>
          <w:rFonts w:ascii="Arial" w:hAnsi="Arial" w:eastAsia="微软雅黑" w:cs="Arial"/>
          <w:b/>
          <w:color w:val="7A1720"/>
          <w:sz w:val="56"/>
          <w:lang w:val="zh-CN" w:eastAsia="zh-CN"/>
        </w:rPr>
        <w:t>Anti-DYKDDDDK（Anti-FLAG）</w:t>
      </w:r>
      <w:r>
        <w:rPr>
          <w:rFonts w:ascii="Arial" w:hAnsi="Arial" w:eastAsia="微软雅黑" w:cs="Arial"/>
          <w:b/>
          <w:color w:val="7A1720"/>
          <w:sz w:val="56"/>
          <w:lang w:val="zh-CN" w:eastAsia="zh-CN"/>
        </w:rPr>
        <w:br w:type="textWrapping"/>
      </w:r>
      <w:r>
        <w:rPr>
          <w:rFonts w:ascii="Arial" w:hAnsi="Arial" w:eastAsia="微软雅黑" w:cs="Arial"/>
          <w:b/>
          <w:color w:val="7A1720"/>
          <w:sz w:val="56"/>
          <w:lang w:val="zh-CN" w:eastAsia="zh-CN"/>
        </w:rPr>
        <w:t>琼脂糖磁珠</w:t>
      </w:r>
    </w:p>
    <w:p w14:paraId="53FF75ED">
      <w:pPr>
        <w:pStyle w:val="26"/>
        <w:keepLines/>
        <w:widowControl/>
        <w:jc w:val="left"/>
      </w:pPr>
      <w:r>
        <w:rPr>
          <w:rFonts w:ascii="Arial" w:hAnsi="Arial" w:eastAsia="微软雅黑" w:cs="Arial"/>
          <w:color w:val="626870"/>
          <w:sz w:val="27"/>
          <w:lang w:val="zh-CN" w:eastAsia="zh-CN"/>
        </w:rPr>
        <w:t>Anti-DYKDDDDK (Anti-FLAG) Magnetic Agarose Beads</w:t>
      </w:r>
    </w:p>
    <w:p w14:paraId="5E6DD817">
      <w:pPr>
        <w:pBdr>
          <w:left w:val="single" w:color="B3202A" w:sz="18" w:space="8"/>
        </w:pBdr>
        <w:spacing w:before="80" w:after="280" w:line="276" w:lineRule="auto"/>
      </w:pPr>
      <w:r>
        <w:rPr>
          <w:rFonts w:ascii="Arial" w:hAnsi="Arial" w:eastAsia="微软雅黑" w:cs="Arial"/>
          <w:color w:val="20242B"/>
          <w:sz w:val="23"/>
          <w:lang w:val="zh-CN" w:eastAsia="zh-CN"/>
        </w:rPr>
        <w:t>用于 FLAG 标签融合蛋白的免疫沉淀、共免疫沉淀与小规模亲和纯化</w:t>
      </w:r>
    </w:p>
    <w:tbl>
      <w:tblPr>
        <w:tblStyle w:val="32"/>
        <w:tblW w:w="9360" w:type="dxa"/>
        <w:tblInd w:w="120" w:type="dxa"/>
        <w:tblBorders>
          <w:top w:val="single" w:color="D9DDE2" w:sz="6" w:space="0"/>
          <w:left w:val="single" w:color="D9DDE2" w:sz="6" w:space="0"/>
          <w:bottom w:val="single" w:color="D9DDE2" w:sz="6" w:space="0"/>
          <w:right w:val="single" w:color="D9DDE2" w:sz="6" w:space="0"/>
          <w:insideH w:val="single" w:color="D9DDE2" w:sz="6" w:space="0"/>
          <w:insideV w:val="single" w:color="D9DDE2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0"/>
        <w:gridCol w:w="6360"/>
      </w:tblGrid>
      <w:tr w14:paraId="76BB8103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3000" w:type="dxa"/>
            <w:shd w:val="clear" w:color="auto" w:fill="B3202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148982">
            <w:pPr>
              <w:spacing w:before="0" w:after="0" w:line="259" w:lineRule="auto"/>
              <w:jc w:val="center"/>
            </w:pPr>
            <w:r>
              <w:rPr>
                <w:rFonts w:ascii="Arial" w:hAnsi="Arial" w:eastAsia="微软雅黑" w:cs="Arial"/>
                <w:b/>
                <w:color w:val="FFFFFF"/>
                <w:sz w:val="20"/>
                <w:lang w:val="zh-CN" w:eastAsia="zh-CN"/>
              </w:rPr>
              <w:t>核心参数</w:t>
            </w:r>
          </w:p>
        </w:tc>
        <w:tc>
          <w:tcPr>
            <w:tcW w:w="6360" w:type="dxa"/>
            <w:shd w:val="clear" w:color="auto" w:fill="B3202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445F5B">
            <w:pPr>
              <w:spacing w:before="0" w:after="0" w:line="259" w:lineRule="auto"/>
              <w:jc w:val="center"/>
            </w:pPr>
            <w:r>
              <w:rPr>
                <w:rFonts w:ascii="Arial" w:hAnsi="Arial" w:eastAsia="微软雅黑" w:cs="Arial"/>
                <w:b/>
                <w:color w:val="FFFFFF"/>
                <w:sz w:val="20"/>
                <w:lang w:val="zh-CN" w:eastAsia="zh-CN"/>
              </w:rPr>
              <w:t>本产品规格</w:t>
            </w:r>
          </w:p>
        </w:tc>
      </w:tr>
      <w:tr w14:paraId="6582C751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28DFB3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/>
                <w:color w:val="20242B"/>
                <w:sz w:val="20"/>
                <w:lang w:val="zh-CN" w:eastAsia="zh-CN"/>
              </w:rPr>
              <w:t>磁珠基质 / 粒径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209E24">
            <w:pPr>
              <w:keepLines/>
              <w:widowControl/>
              <w:spacing w:before="0" w:after="0" w:line="269" w:lineRule="auto"/>
              <w:jc w:val="center"/>
            </w:pPr>
            <w:r>
              <w:rPr>
                <w:rFonts w:ascii="Arial" w:hAnsi="Arial" w:eastAsia="微软雅黑" w:cs="Arial"/>
                <w:b w:val="0"/>
                <w:color w:val="20242B"/>
                <w:sz w:val="20"/>
                <w:lang w:val="zh-CN" w:eastAsia="zh-CN"/>
              </w:rPr>
              <w:t>磁性琼脂糖 / 1–5 μm</w:t>
            </w:r>
          </w:p>
        </w:tc>
      </w:tr>
      <w:tr w14:paraId="0CD01D32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BBC9C3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/>
                <w:color w:val="20242B"/>
                <w:sz w:val="20"/>
                <w:lang w:val="zh-CN" w:eastAsia="zh-CN"/>
              </w:rPr>
              <w:t>产品浓度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5F3658">
            <w:pPr>
              <w:keepLines/>
              <w:widowControl/>
              <w:spacing w:before="0" w:after="0" w:line="269" w:lineRule="auto"/>
              <w:jc w:val="center"/>
            </w:pPr>
            <w:r>
              <w:rPr>
                <w:rFonts w:ascii="Arial" w:hAnsi="Arial" w:eastAsia="微软雅黑" w:cs="Arial"/>
                <w:b w:val="0"/>
                <w:color w:val="20242B"/>
                <w:sz w:val="20"/>
                <w:lang w:val="zh-CN" w:eastAsia="zh-CN"/>
              </w:rPr>
              <w:t>40% slurry（v/v）</w:t>
            </w:r>
          </w:p>
        </w:tc>
      </w:tr>
      <w:tr w14:paraId="2C7F5930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F29957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/>
                <w:color w:val="20242B"/>
                <w:sz w:val="20"/>
                <w:lang w:val="zh-CN" w:eastAsia="zh-CN"/>
              </w:rPr>
              <w:t>标准用量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0F514D">
            <w:pPr>
              <w:keepLines/>
              <w:widowControl/>
              <w:spacing w:before="0" w:after="0" w:line="269" w:lineRule="auto"/>
              <w:jc w:val="center"/>
            </w:pPr>
            <w:r>
              <w:rPr>
                <w:rFonts w:ascii="Arial" w:hAnsi="Arial" w:eastAsia="微软雅黑" w:cs="Arial"/>
                <w:b w:val="0"/>
                <w:color w:val="20242B"/>
                <w:sz w:val="20"/>
                <w:lang w:val="zh-CN" w:eastAsia="zh-CN"/>
              </w:rPr>
              <w:t>50 μL 磁珠悬液 / 次</w:t>
            </w:r>
          </w:p>
        </w:tc>
      </w:tr>
      <w:tr w14:paraId="68FD824B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40BACF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/>
                <w:color w:val="20242B"/>
                <w:sz w:val="20"/>
                <w:lang w:val="zh-CN" w:eastAsia="zh-CN"/>
              </w:rPr>
              <w:t>实际沉降磁珠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256422">
            <w:pPr>
              <w:keepLines/>
              <w:widowControl/>
              <w:spacing w:before="0" w:after="0" w:line="269" w:lineRule="auto"/>
              <w:jc w:val="center"/>
            </w:pPr>
            <w:r>
              <w:rPr>
                <w:rFonts w:ascii="Arial" w:hAnsi="Arial" w:eastAsia="微软雅黑" w:cs="Arial"/>
                <w:b w:val="0"/>
                <w:color w:val="20242B"/>
                <w:sz w:val="20"/>
                <w:lang w:val="zh-CN" w:eastAsia="zh-CN"/>
              </w:rPr>
              <w:t>约 20 μL / 次</w:t>
            </w:r>
          </w:p>
        </w:tc>
      </w:tr>
      <w:tr w14:paraId="38AF6CF3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9FE4B0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/>
                <w:color w:val="20242B"/>
                <w:sz w:val="20"/>
                <w:lang w:val="zh-CN" w:eastAsia="zh-CN"/>
              </w:rPr>
              <w:t>蛋白结合容量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41BCF4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20"/>
                <w:lang w:val="zh-CN" w:eastAsia="zh-CN"/>
              </w:rPr>
              <w:t>&gt;1 mg FLAG 标签蛋白 / mL settled beads</w:t>
            </w:r>
          </w:p>
        </w:tc>
      </w:tr>
      <w:tr w14:paraId="1B474312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D559C5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/>
                <w:color w:val="20242B"/>
                <w:sz w:val="20"/>
                <w:lang w:val="zh-CN" w:eastAsia="zh-CN"/>
              </w:rPr>
              <w:t>推荐洗脱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340894">
            <w:pPr>
              <w:keepLines/>
              <w:widowControl/>
              <w:spacing w:before="0" w:after="0" w:line="269" w:lineRule="auto"/>
              <w:jc w:val="left"/>
              <w:rPr>
                <w:rFonts w:ascii="Arial" w:hAnsi="Arial" w:eastAsia="微软雅黑" w:cs="Arial"/>
                <w:b w:val="0"/>
                <w:color w:val="20242B"/>
                <w:sz w:val="20"/>
                <w:lang w:val="zh-CN" w:eastAsia="zh-CN"/>
              </w:rPr>
            </w:pPr>
            <w:r>
              <w:rPr>
                <w:rFonts w:ascii="Arial" w:hAnsi="Arial" w:eastAsia="微软雅黑" w:cs="Arial"/>
                <w:b w:val="0"/>
                <w:color w:val="20242B"/>
                <w:sz w:val="20"/>
                <w:lang w:val="zh-CN" w:eastAsia="zh-CN"/>
              </w:rPr>
              <w:t>3×FLAG peptide 竞争洗脱</w:t>
            </w:r>
          </w:p>
        </w:tc>
      </w:tr>
    </w:tbl>
    <w:p w14:paraId="69A49B65">
      <w:pPr>
        <w:pStyle w:val="3"/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t>1  产品概述</w:t>
      </w:r>
    </w:p>
    <w:p w14:paraId="78A6A333">
      <w:pPr>
        <w:keepLines/>
        <w:widowControl/>
      </w:pPr>
      <w:r>
        <w:rPr>
          <w:rFonts w:ascii="Arial" w:hAnsi="Arial" w:eastAsia="微软雅黑" w:cs="Arial"/>
          <w:lang w:val="zh-CN" w:eastAsia="zh-CN"/>
        </w:rPr>
        <w:t>Anti-DYKDDDDK（Anti-FLAG）琼脂糖磁珠由识别 DYKDDDDK 标签的抗体固定于磁性琼脂糖载体上。样品中的 FLAG 标签融合蛋白与磁珠结合后，可利用磁力架完成快速固液分离；经洗涤去除非特异结合物，再用 3×FLAG peptide 竞争洗脱，在接近中性条件下获得目的蛋白或蛋白复合物。</w:t>
      </w:r>
    </w:p>
    <w:p w14:paraId="7BC28E0B">
      <w:pPr>
        <w:keepLines/>
        <w:widowControl/>
      </w:pPr>
      <w:r>
        <w:rPr>
          <w:rFonts w:ascii="Arial" w:hAnsi="Arial" w:eastAsia="微软雅黑" w:cs="Arial"/>
          <w:lang w:val="zh-CN" w:eastAsia="zh-CN"/>
        </w:rPr>
        <w:t>本产品适用于细菌、酵母、昆虫及哺乳动物表达体系中 FLAG 标签蛋白的免疫沉淀（IP）、共免疫沉淀（Co-IP）和小规模亲和纯化。标签位置、邻近序列和蛋白构象均可能影响标签暴露度，首次使用时应同时保留 Input、Flow-through、Wash 和 Elution 样品进行条件确认。</w:t>
      </w:r>
    </w:p>
    <w:p w14:paraId="78CAF016">
      <w:pPr>
        <w:pStyle w:val="4"/>
        <w:keepNext/>
        <w:keepLines/>
        <w:widowControl/>
      </w:pPr>
      <w:r>
        <w:t>产品特性</w:t>
      </w:r>
    </w:p>
    <w:tbl>
      <w:tblPr>
        <w:tblStyle w:val="32"/>
        <w:tblW w:w="9360" w:type="dxa"/>
        <w:tblInd w:w="120" w:type="dxa"/>
        <w:tblBorders>
          <w:top w:val="single" w:color="D9DDE2" w:sz="6" w:space="0"/>
          <w:left w:val="single" w:color="D9DDE2" w:sz="6" w:space="0"/>
          <w:bottom w:val="single" w:color="D9DDE2" w:sz="6" w:space="0"/>
          <w:right w:val="single" w:color="D9DDE2" w:sz="6" w:space="0"/>
          <w:insideH w:val="single" w:color="D9DDE2" w:sz="6" w:space="0"/>
          <w:insideV w:val="single" w:color="D9DDE2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6760"/>
      </w:tblGrid>
      <w:tr w14:paraId="71D0F037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600" w:type="dxa"/>
            <w:shd w:val="clear" w:color="auto" w:fill="B3202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2E5F09">
            <w:pPr>
              <w:spacing w:before="0" w:after="0" w:line="259" w:lineRule="auto"/>
              <w:jc w:val="center"/>
            </w:pPr>
            <w:r>
              <w:rPr>
                <w:rFonts w:ascii="Arial" w:hAnsi="Arial" w:eastAsia="微软雅黑" w:cs="Arial"/>
                <w:b/>
                <w:color w:val="FFFFFF"/>
                <w:sz w:val="19"/>
                <w:lang w:val="zh-CN" w:eastAsia="zh-CN"/>
              </w:rPr>
              <w:t>项目</w:t>
            </w:r>
          </w:p>
        </w:tc>
        <w:tc>
          <w:tcPr>
            <w:tcW w:w="6760" w:type="dxa"/>
            <w:shd w:val="clear" w:color="auto" w:fill="B3202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6ED13A">
            <w:pPr>
              <w:spacing w:before="0" w:after="0" w:line="259" w:lineRule="auto"/>
              <w:jc w:val="center"/>
            </w:pPr>
            <w:r>
              <w:rPr>
                <w:rFonts w:ascii="Arial" w:hAnsi="Arial" w:eastAsia="微软雅黑" w:cs="Arial"/>
                <w:b/>
                <w:color w:val="FFFFFF"/>
                <w:sz w:val="19"/>
                <w:lang w:val="zh-CN" w:eastAsia="zh-CN"/>
              </w:rPr>
              <w:t>说明</w:t>
            </w:r>
          </w:p>
        </w:tc>
      </w:tr>
      <w:tr w14:paraId="68E64D3A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5E68A0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/>
                <w:color w:val="20242B"/>
                <w:sz w:val="19"/>
                <w:lang w:val="zh-CN" w:eastAsia="zh-CN"/>
              </w:rPr>
              <w:t>产品名称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64E935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9"/>
                <w:lang w:val="zh-CN" w:eastAsia="zh-CN"/>
              </w:rPr>
              <w:t>Anti-DYKDDDDK（Anti-FLAG）琼脂糖磁珠</w:t>
            </w:r>
          </w:p>
        </w:tc>
      </w:tr>
      <w:tr w14:paraId="55BE9C59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  <w:shd w:val="clear" w:color="auto" w:fill="FA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45A3BC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/>
                <w:color w:val="20242B"/>
                <w:sz w:val="19"/>
                <w:lang w:val="zh-CN" w:eastAsia="zh-CN"/>
              </w:rPr>
              <w:t>基质</w:t>
            </w:r>
          </w:p>
        </w:tc>
        <w:tc>
          <w:tcPr>
            <w:tcW w:w="6760" w:type="dxa"/>
            <w:shd w:val="clear" w:color="auto" w:fill="FA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9683C1">
            <w:pPr>
              <w:keepLines/>
              <w:widowControl/>
              <w:spacing w:before="0" w:after="0" w:line="269" w:lineRule="auto"/>
              <w:jc w:val="center"/>
            </w:pPr>
            <w:r>
              <w:rPr>
                <w:rFonts w:ascii="Arial" w:hAnsi="Arial" w:eastAsia="微软雅黑" w:cs="Arial"/>
                <w:b w:val="0"/>
                <w:color w:val="20242B"/>
                <w:sz w:val="19"/>
                <w:lang w:val="zh-CN" w:eastAsia="zh-CN"/>
              </w:rPr>
              <w:t>磁性琼脂糖</w:t>
            </w:r>
          </w:p>
        </w:tc>
      </w:tr>
      <w:tr w14:paraId="6D165B4B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566961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/>
                <w:color w:val="20242B"/>
                <w:sz w:val="19"/>
                <w:lang w:val="zh-CN" w:eastAsia="zh-CN"/>
              </w:rPr>
              <w:t>粒径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848B23">
            <w:pPr>
              <w:keepLines/>
              <w:widowControl/>
              <w:spacing w:before="0" w:after="0" w:line="269" w:lineRule="auto"/>
              <w:jc w:val="center"/>
            </w:pPr>
            <w:r>
              <w:rPr>
                <w:rFonts w:ascii="Arial" w:hAnsi="Arial" w:eastAsia="微软雅黑" w:cs="Arial"/>
                <w:b w:val="0"/>
                <w:color w:val="20242B"/>
                <w:sz w:val="19"/>
                <w:lang w:val="zh-CN" w:eastAsia="zh-CN"/>
              </w:rPr>
              <w:t>1–5 μm</w:t>
            </w:r>
          </w:p>
        </w:tc>
      </w:tr>
      <w:tr w14:paraId="24FB84B4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  <w:shd w:val="clear" w:color="auto" w:fill="FA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D7D07E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/>
                <w:color w:val="20242B"/>
                <w:sz w:val="19"/>
                <w:lang w:val="zh-CN" w:eastAsia="zh-CN"/>
              </w:rPr>
              <w:t>磁珠浓度</w:t>
            </w:r>
          </w:p>
        </w:tc>
        <w:tc>
          <w:tcPr>
            <w:tcW w:w="6760" w:type="dxa"/>
            <w:shd w:val="clear" w:color="auto" w:fill="FA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CA6846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9"/>
                <w:lang w:val="zh-CN" w:eastAsia="zh-CN"/>
              </w:rPr>
              <w:t>40% slurry（v/v）；1 mL 产品约含 0.40 mL 沉降磁珠</w:t>
            </w:r>
          </w:p>
        </w:tc>
      </w:tr>
      <w:tr w14:paraId="523A6CC5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9568C5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/>
                <w:color w:val="20242B"/>
                <w:sz w:val="19"/>
                <w:lang w:val="zh-CN" w:eastAsia="zh-CN"/>
              </w:rPr>
              <w:t>蛋白结合容量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055028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9"/>
                <w:lang w:val="zh-CN" w:eastAsia="zh-CN"/>
              </w:rPr>
              <w:t>&gt;1 mg FLAG 标签蛋白 / mL settled beads（按沉降磁珠体积计）</w:t>
            </w:r>
          </w:p>
        </w:tc>
      </w:tr>
      <w:tr w14:paraId="1E01E13A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  <w:shd w:val="clear" w:color="auto" w:fill="FA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F8A4E8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/>
                <w:color w:val="20242B"/>
                <w:sz w:val="19"/>
                <w:lang w:val="zh-CN" w:eastAsia="zh-CN"/>
              </w:rPr>
              <w:t>推荐使用量</w:t>
            </w:r>
          </w:p>
        </w:tc>
        <w:tc>
          <w:tcPr>
            <w:tcW w:w="6760" w:type="dxa"/>
            <w:shd w:val="clear" w:color="auto" w:fill="FA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BAB4E7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9"/>
                <w:lang w:val="zh-CN" w:eastAsia="zh-CN"/>
              </w:rPr>
              <w:t>50 μL 磁珠悬液 / 反应；约 20 个标准反应 / mL 产品</w:t>
            </w:r>
          </w:p>
        </w:tc>
      </w:tr>
      <w:tr w14:paraId="75391258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12E809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/>
                <w:color w:val="20242B"/>
                <w:sz w:val="19"/>
                <w:lang w:val="zh-CN" w:eastAsia="zh-CN"/>
              </w:rPr>
              <w:t>推荐样品体积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8B19D2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9"/>
                <w:lang w:val="zh-CN" w:eastAsia="zh-CN"/>
              </w:rPr>
              <w:t>0.20–1.00 mL 澄清裂解液；常用起始体积 0.50 mL</w:t>
            </w:r>
          </w:p>
        </w:tc>
      </w:tr>
      <w:tr w14:paraId="63695BAD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  <w:shd w:val="clear" w:color="auto" w:fill="FA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201176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/>
                <w:color w:val="20242B"/>
                <w:sz w:val="19"/>
                <w:lang w:val="zh-CN" w:eastAsia="zh-CN"/>
              </w:rPr>
              <w:t>推荐洗脱</w:t>
            </w:r>
          </w:p>
        </w:tc>
        <w:tc>
          <w:tcPr>
            <w:tcW w:w="6760" w:type="dxa"/>
            <w:shd w:val="clear" w:color="auto" w:fill="FA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26D690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9"/>
                <w:lang w:val="zh-CN" w:eastAsia="zh-CN"/>
              </w:rPr>
              <w:t>3×FLAG peptide 竞争洗脱；保持目的蛋白接近天然状态</w:t>
            </w:r>
          </w:p>
        </w:tc>
      </w:tr>
      <w:tr w14:paraId="6EE906D7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06C352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/>
                <w:color w:val="20242B"/>
                <w:sz w:val="19"/>
                <w:lang w:val="zh-CN" w:eastAsia="zh-CN"/>
              </w:rPr>
              <w:t>分离方式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E459FF">
            <w:pPr>
              <w:keepLines/>
              <w:widowControl/>
              <w:spacing w:before="0" w:after="0" w:line="269" w:lineRule="auto"/>
              <w:jc w:val="center"/>
            </w:pPr>
            <w:r>
              <w:rPr>
                <w:rFonts w:ascii="Arial" w:hAnsi="Arial" w:eastAsia="微软雅黑" w:cs="Arial"/>
                <w:b w:val="0"/>
                <w:color w:val="20242B"/>
                <w:sz w:val="19"/>
                <w:lang w:val="zh-CN" w:eastAsia="zh-CN"/>
              </w:rPr>
              <w:t>磁力架分离；以溶液澄清为终点</w:t>
            </w:r>
          </w:p>
        </w:tc>
      </w:tr>
      <w:tr w14:paraId="691D4E22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  <w:shd w:val="clear" w:color="auto" w:fill="FA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8B03B8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/>
                <w:color w:val="20242B"/>
                <w:sz w:val="19"/>
                <w:lang w:val="zh-CN" w:eastAsia="zh-CN"/>
              </w:rPr>
              <w:t>储存</w:t>
            </w:r>
          </w:p>
        </w:tc>
        <w:tc>
          <w:tcPr>
            <w:tcW w:w="6760" w:type="dxa"/>
            <w:shd w:val="clear" w:color="auto" w:fill="FA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7F3735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9"/>
                <w:lang w:val="zh-CN" w:eastAsia="zh-CN"/>
              </w:rPr>
              <w:t>建议 2–8°C，禁止冻结；有效期及保存液组成以产品标签/批次 COA 为准</w:t>
            </w:r>
          </w:p>
        </w:tc>
      </w:tr>
    </w:tbl>
    <w:p w14:paraId="7F9675A2">
      <w:pPr>
        <w:pStyle w:val="4"/>
        <w:keepNext/>
        <w:keepLines/>
        <w:widowControl/>
      </w:pPr>
      <w:r>
        <w:t>包装规格</w:t>
      </w:r>
    </w:p>
    <w:tbl>
      <w:tblPr>
        <w:tblStyle w:val="32"/>
        <w:tblW w:w="9360" w:type="dxa"/>
        <w:tblInd w:w="120" w:type="dxa"/>
        <w:tblBorders>
          <w:top w:val="single" w:color="AAB4BE" w:sz="4" w:space="0"/>
          <w:left w:val="single" w:color="AAB4BE" w:sz="4" w:space="0"/>
          <w:bottom w:val="single" w:color="AAB4BE" w:sz="4" w:space="0"/>
          <w:right w:val="single" w:color="AAB4BE" w:sz="4" w:space="0"/>
          <w:insideH w:val="single" w:color="AAB4BE" w:sz="4" w:space="0"/>
          <w:insideV w:val="single" w:color="AAB4BE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0"/>
        <w:gridCol w:w="2500"/>
        <w:gridCol w:w="3060"/>
      </w:tblGrid>
      <w:tr w14:paraId="3FB2623A">
        <w:tblPrEx>
          <w:tblBorders>
            <w:top w:val="single" w:color="AAB4BE" w:sz="4" w:space="0"/>
            <w:left w:val="single" w:color="AAB4BE" w:sz="4" w:space="0"/>
            <w:bottom w:val="single" w:color="AAB4BE" w:sz="4" w:space="0"/>
            <w:right w:val="single" w:color="AAB4BE" w:sz="4" w:space="0"/>
            <w:insideH w:val="single" w:color="AAB4BE" w:sz="4" w:space="0"/>
            <w:insideV w:val="single" w:color="AAB4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3800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2BC9B4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货号</w:t>
            </w:r>
          </w:p>
        </w:tc>
        <w:tc>
          <w:tcPr>
            <w:tcW w:w="2500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E5CFFE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规格（</w:t>
            </w:r>
            <w:r>
              <w:rPr>
                <w:rFonts w:hint="default" w:ascii="Times New Roman" w:hAnsi="Times New Roman" w:cs="Times New Roman"/>
                <w:b/>
                <w:color w:val="20242B"/>
                <w:sz w:val="19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% slurry）</w:t>
            </w:r>
          </w:p>
        </w:tc>
        <w:tc>
          <w:tcPr>
            <w:tcW w:w="3060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68EF54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参考反应数*</w:t>
            </w:r>
          </w:p>
        </w:tc>
      </w:tr>
      <w:tr w14:paraId="25B18505">
        <w:tblPrEx>
          <w:tblBorders>
            <w:top w:val="single" w:color="AAB4BE" w:sz="4" w:space="0"/>
            <w:left w:val="single" w:color="AAB4BE" w:sz="4" w:space="0"/>
            <w:bottom w:val="single" w:color="AAB4BE" w:sz="4" w:space="0"/>
            <w:right w:val="single" w:color="AAB4BE" w:sz="4" w:space="0"/>
            <w:insideH w:val="single" w:color="AAB4BE" w:sz="4" w:space="0"/>
            <w:insideV w:val="single" w:color="AAB4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800" w:type="dxa"/>
          </w:tcPr>
          <w:p w14:paraId="396F1673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HXL-FLAG-mag-agro-1</w:t>
            </w:r>
          </w:p>
        </w:tc>
        <w:tc>
          <w:tcPr>
            <w:tcW w:w="2500" w:type="dxa"/>
          </w:tcPr>
          <w:p w14:paraId="75BD0946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1 mL</w:t>
            </w:r>
          </w:p>
        </w:tc>
        <w:tc>
          <w:tcPr>
            <w:tcW w:w="3060" w:type="dxa"/>
          </w:tcPr>
          <w:p w14:paraId="7019B7EA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约 20 次</w:t>
            </w:r>
          </w:p>
        </w:tc>
      </w:tr>
      <w:tr w14:paraId="0E6D0D91">
        <w:tblPrEx>
          <w:tblBorders>
            <w:top w:val="single" w:color="AAB4BE" w:sz="4" w:space="0"/>
            <w:left w:val="single" w:color="AAB4BE" w:sz="4" w:space="0"/>
            <w:bottom w:val="single" w:color="AAB4BE" w:sz="4" w:space="0"/>
            <w:right w:val="single" w:color="AAB4BE" w:sz="4" w:space="0"/>
            <w:insideH w:val="single" w:color="AAB4BE" w:sz="4" w:space="0"/>
            <w:insideV w:val="single" w:color="AAB4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800" w:type="dxa"/>
            <w:shd w:val="clear" w:color="auto" w:fill="F7F9FB"/>
          </w:tcPr>
          <w:p w14:paraId="2648D1C8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HXL-FLAG-mag-agro-4</w:t>
            </w:r>
          </w:p>
        </w:tc>
        <w:tc>
          <w:tcPr>
            <w:tcW w:w="2500" w:type="dxa"/>
            <w:shd w:val="clear" w:color="auto" w:fill="F7F9FB"/>
          </w:tcPr>
          <w:p w14:paraId="52A4ABA3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4 mL</w:t>
            </w:r>
          </w:p>
        </w:tc>
        <w:tc>
          <w:tcPr>
            <w:tcW w:w="3060" w:type="dxa"/>
            <w:shd w:val="clear" w:color="auto" w:fill="F7F9FB"/>
          </w:tcPr>
          <w:p w14:paraId="12597F15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约 80 次</w:t>
            </w:r>
          </w:p>
        </w:tc>
      </w:tr>
      <w:tr w14:paraId="620102B7">
        <w:tblPrEx>
          <w:tblBorders>
            <w:top w:val="single" w:color="AAB4BE" w:sz="4" w:space="0"/>
            <w:left w:val="single" w:color="AAB4BE" w:sz="4" w:space="0"/>
            <w:bottom w:val="single" w:color="AAB4BE" w:sz="4" w:space="0"/>
            <w:right w:val="single" w:color="AAB4BE" w:sz="4" w:space="0"/>
            <w:insideH w:val="single" w:color="AAB4BE" w:sz="4" w:space="0"/>
            <w:insideV w:val="single" w:color="AAB4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800" w:type="dxa"/>
          </w:tcPr>
          <w:p w14:paraId="08AE2B5A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HXL-FLAG-mag-agro-20</w:t>
            </w:r>
          </w:p>
        </w:tc>
        <w:tc>
          <w:tcPr>
            <w:tcW w:w="2500" w:type="dxa"/>
          </w:tcPr>
          <w:p w14:paraId="1CC1CD9A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20 mL</w:t>
            </w:r>
          </w:p>
        </w:tc>
        <w:tc>
          <w:tcPr>
            <w:tcW w:w="3060" w:type="dxa"/>
          </w:tcPr>
          <w:p w14:paraId="51F93F5F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约 400 次</w:t>
            </w:r>
          </w:p>
        </w:tc>
      </w:tr>
    </w:tbl>
    <w:p w14:paraId="3CDD7C4E">
      <w:pPr>
        <w:pStyle w:val="3"/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t>2  使用前准备</w:t>
      </w:r>
    </w:p>
    <w:p w14:paraId="31AA895B">
      <w:pPr>
        <w:pStyle w:val="4"/>
        <w:keepNext/>
        <w:keepLines/>
        <w:widowControl/>
      </w:pPr>
      <w:r>
        <w:rPr>
          <w:rFonts w:hint="eastAsia" w:eastAsia="宋体"/>
          <w:lang w:val="en-US" w:eastAsia="zh-CN"/>
        </w:rPr>
        <w:t>2.1</w:t>
      </w:r>
      <w:r>
        <w:t xml:space="preserve">  推荐缓冲液</w:t>
      </w:r>
      <w:bookmarkStart w:id="0" w:name="_GoBack"/>
      <w:bookmarkEnd w:id="0"/>
    </w:p>
    <w:tbl>
      <w:tblPr>
        <w:tblStyle w:val="32"/>
        <w:tblW w:w="9360" w:type="dxa"/>
        <w:tblInd w:w="120" w:type="dxa"/>
        <w:tblBorders>
          <w:top w:val="single" w:color="D9DDE2" w:sz="6" w:space="0"/>
          <w:left w:val="single" w:color="D9DDE2" w:sz="6" w:space="0"/>
          <w:bottom w:val="single" w:color="D9DDE2" w:sz="6" w:space="0"/>
          <w:right w:val="single" w:color="D9DDE2" w:sz="6" w:space="0"/>
          <w:insideH w:val="single" w:color="D9DDE2" w:sz="6" w:space="0"/>
          <w:insideV w:val="single" w:color="D9DDE2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3800"/>
        <w:gridCol w:w="3460"/>
      </w:tblGrid>
      <w:tr w14:paraId="1BA3386C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100" w:type="dxa"/>
            <w:shd w:val="clear" w:color="auto" w:fill="B3202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988749">
            <w:pPr>
              <w:spacing w:before="0" w:after="0" w:line="259" w:lineRule="auto"/>
              <w:jc w:val="center"/>
            </w:pPr>
            <w:r>
              <w:rPr>
                <w:rFonts w:ascii="Arial" w:hAnsi="Arial" w:eastAsia="微软雅黑" w:cs="Arial"/>
                <w:b/>
                <w:color w:val="FFFFFF"/>
                <w:sz w:val="17"/>
                <w:lang w:val="zh-CN" w:eastAsia="zh-CN"/>
              </w:rPr>
              <w:t>缓冲液</w:t>
            </w:r>
          </w:p>
        </w:tc>
        <w:tc>
          <w:tcPr>
            <w:tcW w:w="3800" w:type="dxa"/>
            <w:shd w:val="clear" w:color="auto" w:fill="B3202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CFF183">
            <w:pPr>
              <w:spacing w:before="0" w:after="0" w:line="259" w:lineRule="auto"/>
              <w:jc w:val="center"/>
            </w:pPr>
            <w:r>
              <w:rPr>
                <w:rFonts w:ascii="Arial" w:hAnsi="Arial" w:eastAsia="微软雅黑" w:cs="Arial"/>
                <w:b/>
                <w:color w:val="FFFFFF"/>
                <w:sz w:val="17"/>
                <w:lang w:val="zh-CN" w:eastAsia="zh-CN"/>
              </w:rPr>
              <w:t>推荐组成</w:t>
            </w:r>
          </w:p>
        </w:tc>
        <w:tc>
          <w:tcPr>
            <w:tcW w:w="3460" w:type="dxa"/>
            <w:shd w:val="clear" w:color="auto" w:fill="B3202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DEF709">
            <w:pPr>
              <w:spacing w:before="0" w:after="0" w:line="259" w:lineRule="auto"/>
              <w:jc w:val="center"/>
            </w:pPr>
            <w:r>
              <w:rPr>
                <w:rFonts w:ascii="Arial" w:hAnsi="Arial" w:eastAsia="微软雅黑" w:cs="Arial"/>
                <w:b/>
                <w:color w:val="FFFFFF"/>
                <w:sz w:val="17"/>
                <w:lang w:val="zh-CN" w:eastAsia="zh-CN"/>
              </w:rPr>
              <w:t>用途与说明</w:t>
            </w:r>
          </w:p>
        </w:tc>
      </w:tr>
      <w:tr w14:paraId="06D70CD1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AC291F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标准结合/洗涤液</w:t>
            </w:r>
          </w:p>
        </w:tc>
        <w:tc>
          <w:tcPr>
            <w:tcW w:w="3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975D56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50 mM Tris-HCl，150 mM NaCl，pH 7.4–7.5</w:t>
            </w:r>
          </w:p>
        </w:tc>
        <w:tc>
          <w:tcPr>
            <w:tcW w:w="34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BFE617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适用于多数纯化与 IP；PBS（pH 7.2–7.4）亦可作为起始条件。</w:t>
            </w:r>
          </w:p>
        </w:tc>
      </w:tr>
      <w:tr w14:paraId="56F446F4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shd w:val="clear" w:color="auto" w:fill="FA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285317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哺乳动物 IP 裂解液</w:t>
            </w:r>
          </w:p>
        </w:tc>
        <w:tc>
          <w:tcPr>
            <w:tcW w:w="3800" w:type="dxa"/>
            <w:shd w:val="clear" w:color="auto" w:fill="FA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179F13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50 mM Tris-HCl，150 mM NaCl，1 mM EDTA，0.5% NP-40，pH 7.4</w:t>
            </w:r>
          </w:p>
        </w:tc>
        <w:tc>
          <w:tcPr>
            <w:tcW w:w="3460" w:type="dxa"/>
            <w:shd w:val="clear" w:color="auto" w:fill="FA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6834F4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使用前加入蛋白酶抑制剂；弱相互作用可将去污剂降至 0.1–0.3%。</w:t>
            </w:r>
          </w:p>
        </w:tc>
      </w:tr>
      <w:tr w14:paraId="7C3F7183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B1DF37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低背景洗涤液</w:t>
            </w:r>
          </w:p>
        </w:tc>
        <w:tc>
          <w:tcPr>
            <w:tcW w:w="3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1B3676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标准缓冲液 + 0.05–0.10% Tween-20 或 NP-40；必要时 NaCl 300–500 mM</w:t>
            </w:r>
          </w:p>
        </w:tc>
        <w:tc>
          <w:tcPr>
            <w:tcW w:w="34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EB543D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用于高背景样品；盐或去污剂过强可能损失弱相互作用蛋白。</w:t>
            </w:r>
          </w:p>
        </w:tc>
      </w:tr>
      <w:tr w14:paraId="2E462A00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shd w:val="clear" w:color="auto" w:fill="FA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1AA92E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3×FLAG peptide 洗脱液</w:t>
            </w:r>
          </w:p>
        </w:tc>
        <w:tc>
          <w:tcPr>
            <w:tcW w:w="3800" w:type="dxa"/>
            <w:shd w:val="clear" w:color="auto" w:fill="FA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844B24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0.</w:t>
            </w:r>
            <w:r>
              <w:rPr>
                <w:rFonts w:hint="eastAsia" w:cs="Arial"/>
                <w:b w:val="0"/>
                <w:color w:val="20242B"/>
                <w:sz w:val="17"/>
                <w:lang w:val="en-US" w:eastAsia="zh-CN"/>
              </w:rPr>
              <w:t>3</w:t>
            </w: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0 mg/mL 3×FLAG peptide，TBS 或 PBS，pH 7.2–7.6</w:t>
            </w:r>
          </w:p>
        </w:tc>
        <w:tc>
          <w:tcPr>
            <w:tcW w:w="3460" w:type="dxa"/>
            <w:shd w:val="clear" w:color="auto" w:fill="FA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F8DB11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标准起始条件；回收不足时可提高至 0.5–1.0 mg/mL 或进行二次洗脱。</w:t>
            </w:r>
          </w:p>
        </w:tc>
      </w:tr>
    </w:tbl>
    <w:p w14:paraId="5DAC6BF9">
      <w:pPr>
        <w:spacing w:after="60"/>
      </w:pPr>
    </w:p>
    <w:tbl>
      <w:tblPr>
        <w:tblStyle w:val="32"/>
        <w:tblW w:w="9360" w:type="dxa"/>
        <w:tblInd w:w="120" w:type="dxa"/>
        <w:tblBorders>
          <w:top w:val="single" w:color="C49A2C" w:sz="8" w:space="0"/>
          <w:left w:val="single" w:color="C49A2C" w:sz="8" w:space="0"/>
          <w:bottom w:val="single" w:color="C49A2C" w:sz="8" w:space="0"/>
          <w:right w:val="single" w:color="C49A2C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13A4E3D9">
        <w:tblPrEx>
          <w:tblBorders>
            <w:top w:val="single" w:color="C49A2C" w:sz="8" w:space="0"/>
            <w:left w:val="single" w:color="C49A2C" w:sz="8" w:space="0"/>
            <w:bottom w:val="single" w:color="C49A2C" w:sz="8" w:space="0"/>
            <w:right w:val="single" w:color="C49A2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FFF7E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7179C1">
            <w:pPr>
              <w:keepLines/>
              <w:widowControl/>
              <w:spacing w:before="40" w:after="40" w:line="283" w:lineRule="auto"/>
            </w:pPr>
            <w:r>
              <w:rPr>
                <w:rFonts w:ascii="Arial" w:hAnsi="Arial" w:eastAsia="微软雅黑" w:cs="Arial"/>
                <w:b/>
                <w:color w:val="7A5A00"/>
                <w:sz w:val="20"/>
                <w:lang w:val="zh-CN" w:eastAsia="zh-CN"/>
              </w:rPr>
              <w:t xml:space="preserve">避免直接使用  </w:t>
            </w:r>
            <w:r>
              <w:rPr>
                <w:rFonts w:ascii="Arial" w:hAnsi="Arial" w:eastAsia="微软雅黑" w:cs="Arial"/>
                <w:color w:val="20242B"/>
                <w:sz w:val="20"/>
                <w:lang w:val="zh-CN" w:eastAsia="zh-CN"/>
              </w:rPr>
              <w:t>含高浓度 DTT、β-巯基乙醇或其他强还原剂的裂解液，以及含较高 SDS 的样品。若实验必须使用这些成分，应先做小规模兼容性验证；不要把“同类产品可用”当作本产品已验证。</w:t>
            </w:r>
          </w:p>
        </w:tc>
      </w:tr>
    </w:tbl>
    <w:p w14:paraId="61F65699">
      <w:pPr>
        <w:spacing w:after="40"/>
      </w:pPr>
    </w:p>
    <w:p w14:paraId="23C0F6B8">
      <w:pPr>
        <w:pStyle w:val="4"/>
        <w:keepNext/>
        <w:keepLines/>
        <w:widowControl/>
      </w:pPr>
      <w:r>
        <w:t>2.</w:t>
      </w:r>
      <w:r>
        <w:rPr>
          <w:rFonts w:hint="eastAsia" w:eastAsia="宋体"/>
          <w:lang w:val="en-US" w:eastAsia="zh-CN"/>
        </w:rPr>
        <w:t xml:space="preserve">2 </w:t>
      </w:r>
      <w:r>
        <w:t xml:space="preserve"> 样品准备</w:t>
      </w:r>
    </w:p>
    <w:p w14:paraId="56D53ACB">
      <w:pPr>
        <w:pStyle w:val="143"/>
        <w:keepLines/>
        <w:widowControl/>
        <w:numPr>
          <w:ilvl w:val="0"/>
          <w:numId w:val="7"/>
        </w:numPr>
      </w:pPr>
      <w:r>
        <w:rPr>
          <w:rFonts w:ascii="Arial" w:hAnsi="Arial" w:eastAsia="微软雅黑" w:cs="Arial"/>
          <w:lang w:val="zh-CN" w:eastAsia="zh-CN"/>
        </w:rPr>
        <w:t>在低温条件下制备裂解液，并在使用前新鲜加入蛋白酶抑制剂；研究磷酸化蛋白时同时加入磷酸酶抑制剂。</w:t>
      </w:r>
    </w:p>
    <w:p w14:paraId="0A60346F">
      <w:pPr>
        <w:pStyle w:val="143"/>
        <w:keepLines/>
        <w:widowControl/>
        <w:numPr>
          <w:ilvl w:val="0"/>
          <w:numId w:val="7"/>
        </w:numPr>
      </w:pPr>
      <w:r>
        <w:rPr>
          <w:rFonts w:ascii="Arial" w:hAnsi="Arial" w:eastAsia="微软雅黑" w:cs="Arial"/>
          <w:lang w:val="zh-CN" w:eastAsia="zh-CN"/>
        </w:rPr>
        <w:t>将裂解液在 4°C、12,000–16,000 × g 离心 10 分钟，取澄清上清。黏稠样品应通过剪切或核酸酶处理降低核酸黏度。</w:t>
      </w:r>
    </w:p>
    <w:p w14:paraId="68488B58">
      <w:pPr>
        <w:pStyle w:val="143"/>
        <w:keepLines/>
        <w:widowControl/>
        <w:numPr>
          <w:ilvl w:val="0"/>
          <w:numId w:val="7"/>
        </w:numPr>
      </w:pPr>
      <w:r>
        <w:rPr>
          <w:rFonts w:ascii="Arial" w:hAnsi="Arial" w:eastAsia="微软雅黑" w:cs="Arial"/>
          <w:lang w:val="zh-CN" w:eastAsia="zh-CN"/>
        </w:rPr>
        <w:t>测定总蛋白浓度并确认 FLAG 标签蛋白在 Input 中表达。推荐每次使用 0.20–1.00 mL 澄清裂解液，首次以 0.50 mL 为起点。</w:t>
      </w:r>
    </w:p>
    <w:p w14:paraId="2C05891F">
      <w:pPr>
        <w:pStyle w:val="143"/>
        <w:keepLines/>
        <w:widowControl/>
        <w:numPr>
          <w:ilvl w:val="0"/>
          <w:numId w:val="7"/>
        </w:numPr>
      </w:pPr>
      <w:r>
        <w:rPr>
          <w:rFonts w:ascii="Arial" w:hAnsi="Arial" w:eastAsia="微软雅黑" w:cs="Arial"/>
          <w:lang w:val="zh-CN" w:eastAsia="zh-CN"/>
        </w:rPr>
        <w:t>保留 Input（建议为总样品的 1–2%）并全程置于冰上，随后立即进入磁珠结合步骤。</w:t>
      </w:r>
    </w:p>
    <w:p w14:paraId="7EE9C3D0">
      <w:pPr>
        <w:pStyle w:val="3"/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t>3  标准操作流程（50 μL 磁珠悬液 / 反应）</w:t>
      </w:r>
    </w:p>
    <w:tbl>
      <w:tblPr>
        <w:tblStyle w:val="32"/>
        <w:tblW w:w="9360" w:type="dxa"/>
        <w:tblInd w:w="120" w:type="dxa"/>
        <w:tblBorders>
          <w:top w:val="single" w:color="5A8B72" w:sz="8" w:space="0"/>
          <w:left w:val="single" w:color="5A8B72" w:sz="8" w:space="0"/>
          <w:bottom w:val="single" w:color="5A8B72" w:sz="8" w:space="0"/>
          <w:right w:val="single" w:color="5A8B72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282B5D4E">
        <w:tblPrEx>
          <w:tblBorders>
            <w:top w:val="single" w:color="5A8B72" w:sz="8" w:space="0"/>
            <w:left w:val="single" w:color="5A8B72" w:sz="8" w:space="0"/>
            <w:bottom w:val="single" w:color="5A8B72" w:sz="8" w:space="0"/>
            <w:right w:val="single" w:color="5A8B72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EAF5E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ECED9D">
            <w:pPr>
              <w:keepLines/>
              <w:widowControl/>
              <w:spacing w:before="40" w:after="40" w:line="283" w:lineRule="auto"/>
            </w:pPr>
            <w:r>
              <w:rPr>
                <w:rFonts w:ascii="Arial" w:hAnsi="Arial" w:eastAsia="微软雅黑" w:cs="Arial"/>
                <w:b/>
                <w:color w:val="285943"/>
                <w:sz w:val="20"/>
                <w:lang w:val="zh-CN" w:eastAsia="zh-CN"/>
              </w:rPr>
              <w:t xml:space="preserve">标准流程一览  </w:t>
            </w:r>
            <w:r>
              <w:rPr>
                <w:rFonts w:ascii="Arial" w:hAnsi="Arial" w:eastAsia="微软雅黑" w:cs="Arial"/>
                <w:color w:val="20242B"/>
                <w:sz w:val="20"/>
                <w:lang w:val="zh-CN" w:eastAsia="zh-CN"/>
              </w:rPr>
              <w:t>充分重悬 → 预洗 2 次 → 4°C 结合 2</w:t>
            </w:r>
            <w:r>
              <w:rPr>
                <w:rFonts w:hint="eastAsia" w:cs="Arial"/>
                <w:color w:val="20242B"/>
                <w:sz w:val="20"/>
                <w:lang w:val="en-US" w:eastAsia="zh-CN"/>
              </w:rPr>
              <w:t>-4</w:t>
            </w:r>
            <w:r>
              <w:rPr>
                <w:rFonts w:ascii="Arial" w:hAnsi="Arial" w:eastAsia="微软雅黑" w:cs="Arial"/>
                <w:color w:val="20242B"/>
                <w:sz w:val="20"/>
                <w:lang w:val="zh-CN" w:eastAsia="zh-CN"/>
              </w:rPr>
              <w:t xml:space="preserve"> 小时 → 洗涤 4 次 → 0.20 mg/mL 3×FLAG peptide、50 μL、室温 30 分钟 → 磁分离收集洗脱液。</w:t>
            </w:r>
          </w:p>
        </w:tc>
      </w:tr>
    </w:tbl>
    <w:p w14:paraId="446D199E">
      <w:pPr>
        <w:pStyle w:val="4"/>
        <w:keepNext/>
        <w:keepLines/>
        <w:widowControl/>
      </w:pPr>
      <w:r>
        <w:t>3.1  磁珠重悬与预洗</w:t>
      </w:r>
    </w:p>
    <w:p w14:paraId="2E9BCD76">
      <w:pPr>
        <w:pStyle w:val="143"/>
        <w:keepLines/>
        <w:widowControl/>
        <w:numPr>
          <w:ilvl w:val="0"/>
          <w:numId w:val="8"/>
        </w:numPr>
        <w:tabs>
          <w:tab w:val="left" w:pos="540"/>
        </w:tabs>
      </w:pPr>
      <w:r>
        <w:rPr>
          <w:rFonts w:ascii="Arial" w:hAnsi="Arial" w:eastAsia="微软雅黑" w:cs="Arial"/>
          <w:lang w:val="zh-CN" w:eastAsia="zh-CN"/>
        </w:rPr>
        <w:t>将磁珠从 2–8°C 取出，轻柔翻转试剂瓶约 10 次，或用宽口吸头缓慢吹打，使磁珠完全均匀分散。避免剧烈涡旋和起泡。</w:t>
      </w:r>
    </w:p>
    <w:p w14:paraId="51D73B26">
      <w:pPr>
        <w:pStyle w:val="143"/>
        <w:keepLines/>
        <w:widowControl/>
        <w:numPr>
          <w:ilvl w:val="0"/>
          <w:numId w:val="8"/>
        </w:numPr>
        <w:tabs>
          <w:tab w:val="left" w:pos="540"/>
        </w:tabs>
      </w:pPr>
      <w:r>
        <w:rPr>
          <w:rFonts w:ascii="Arial" w:hAnsi="Arial" w:eastAsia="微软雅黑" w:cs="Arial"/>
          <w:lang w:val="zh-CN" w:eastAsia="zh-CN"/>
        </w:rPr>
        <w:t>立即吸取 50 μL 40% slurry 至 1.5 mL 低蛋白吸附管中。取样前后均应保持产品悬液均一。</w:t>
      </w:r>
    </w:p>
    <w:p w14:paraId="492E5F5F">
      <w:pPr>
        <w:pStyle w:val="143"/>
        <w:keepLines/>
        <w:widowControl/>
        <w:numPr>
          <w:ilvl w:val="0"/>
          <w:numId w:val="8"/>
        </w:numPr>
        <w:tabs>
          <w:tab w:val="left" w:pos="540"/>
        </w:tabs>
      </w:pPr>
      <w:r>
        <w:rPr>
          <w:rFonts w:ascii="Arial" w:hAnsi="Arial" w:eastAsia="微软雅黑" w:cs="Arial"/>
          <w:lang w:val="zh-CN" w:eastAsia="zh-CN"/>
        </w:rPr>
        <w:t>加入 500 μL 标准结合/洗涤液，轻柔吹打或翻转混匀。</w:t>
      </w:r>
    </w:p>
    <w:p w14:paraId="54548072">
      <w:pPr>
        <w:pStyle w:val="143"/>
        <w:keepLines/>
        <w:widowControl/>
        <w:numPr>
          <w:ilvl w:val="0"/>
          <w:numId w:val="8"/>
        </w:numPr>
        <w:tabs>
          <w:tab w:val="left" w:pos="540"/>
        </w:tabs>
      </w:pPr>
      <w:r>
        <w:rPr>
          <w:rFonts w:ascii="Arial" w:hAnsi="Arial" w:eastAsia="微软雅黑" w:cs="Arial"/>
          <w:lang w:val="zh-CN" w:eastAsia="zh-CN"/>
        </w:rPr>
        <w:t>将管置于磁力架，待上清澄清后再吸弃上清。1–5 μm 磁珠在不同磁力架上的分离速度不同，通常约需 1–3 分钟；以澄清为准，不以固定秒数为准。</w:t>
      </w:r>
    </w:p>
    <w:p w14:paraId="3FA31577">
      <w:pPr>
        <w:pStyle w:val="143"/>
        <w:keepLines/>
        <w:widowControl/>
        <w:numPr>
          <w:ilvl w:val="0"/>
          <w:numId w:val="8"/>
        </w:numPr>
        <w:tabs>
          <w:tab w:val="left" w:pos="540"/>
        </w:tabs>
      </w:pPr>
      <w:r>
        <w:rPr>
          <w:rFonts w:ascii="Arial" w:hAnsi="Arial" w:eastAsia="微软雅黑" w:cs="Arial"/>
          <w:lang w:val="zh-CN" w:eastAsia="zh-CN"/>
        </w:rPr>
        <w:t>重复步骤 3–4 一次，共预洗 2 次。最后一次吸液时不要让磁珠干燥。</w:t>
      </w:r>
    </w:p>
    <w:p w14:paraId="435E8930">
      <w:pPr>
        <w:pStyle w:val="4"/>
        <w:keepNext/>
        <w:keepLines/>
        <w:widowControl/>
      </w:pPr>
      <w:r>
        <w:t>3.2  FLAG 标签蛋白结合</w:t>
      </w:r>
    </w:p>
    <w:p w14:paraId="4C188BB3">
      <w:pPr>
        <w:pStyle w:val="143"/>
        <w:keepLines/>
        <w:widowControl/>
        <w:numPr>
          <w:ilvl w:val="0"/>
          <w:numId w:val="9"/>
        </w:numPr>
        <w:tabs>
          <w:tab w:val="left" w:pos="540"/>
        </w:tabs>
      </w:pPr>
      <w:r>
        <w:rPr>
          <w:rFonts w:ascii="Arial" w:hAnsi="Arial" w:eastAsia="微软雅黑" w:cs="Arial"/>
          <w:lang w:val="zh-CN" w:eastAsia="zh-CN"/>
        </w:rPr>
        <w:t>向预洗后的磁珠中加入 0.20–1.00 mL 澄清样品；首次建议使用 0.50 mL。样品体积过小时可用结合缓冲液补至至少 0.30 mL，以保证混合均匀。</w:t>
      </w:r>
    </w:p>
    <w:p w14:paraId="618CBB31">
      <w:pPr>
        <w:pStyle w:val="143"/>
        <w:keepLines/>
        <w:widowControl/>
        <w:numPr>
          <w:ilvl w:val="0"/>
          <w:numId w:val="9"/>
        </w:numPr>
        <w:tabs>
          <w:tab w:val="left" w:pos="540"/>
        </w:tabs>
      </w:pPr>
      <w:r>
        <w:rPr>
          <w:rFonts w:ascii="Arial" w:hAnsi="Arial" w:eastAsia="微软雅黑" w:cs="Arial"/>
          <w:lang w:val="zh-CN" w:eastAsia="zh-CN"/>
        </w:rPr>
        <w:t>轻柔吹打使磁珠均匀分散，置于翻转混合仪上 4°C 孵育 2小时。低丰度目标可延长至 4 小时。</w:t>
      </w:r>
    </w:p>
    <w:p w14:paraId="0922340A">
      <w:pPr>
        <w:pStyle w:val="143"/>
        <w:keepLines/>
        <w:widowControl/>
        <w:numPr>
          <w:ilvl w:val="0"/>
          <w:numId w:val="9"/>
        </w:numPr>
        <w:tabs>
          <w:tab w:val="left" w:pos="540"/>
        </w:tabs>
      </w:pPr>
      <w:r>
        <w:rPr>
          <w:rFonts w:ascii="Arial" w:hAnsi="Arial" w:eastAsia="微软雅黑" w:cs="Arial"/>
          <w:lang w:val="zh-CN" w:eastAsia="zh-CN"/>
        </w:rPr>
        <w:t>将反应管置于磁力架直至上清澄清，转移上清至新管并标记为 Flow-through（FT），用于判断是否过载或结合不足。</w:t>
      </w:r>
    </w:p>
    <w:p w14:paraId="4B009121">
      <w:pPr>
        <w:pStyle w:val="143"/>
        <w:keepLines/>
        <w:widowControl/>
        <w:numPr>
          <w:ilvl w:val="0"/>
          <w:numId w:val="9"/>
        </w:numPr>
        <w:tabs>
          <w:tab w:val="left" w:pos="540"/>
        </w:tabs>
      </w:pPr>
      <w:r>
        <w:rPr>
          <w:rFonts w:ascii="Arial" w:hAnsi="Arial" w:eastAsia="微软雅黑" w:cs="Arial"/>
          <w:lang w:val="zh-CN" w:eastAsia="zh-CN"/>
        </w:rPr>
        <w:t>若 FT 中仍有大量 FLAG 蛋白，不要直接通过过夜孵育解决；优先确认标签可及性、缓冲液兼容性，并按目标蛋白量增加磁珠用量。</w:t>
      </w:r>
    </w:p>
    <w:tbl>
      <w:tblPr>
        <w:tblStyle w:val="32"/>
        <w:tblW w:w="9360" w:type="dxa"/>
        <w:tblInd w:w="120" w:type="dxa"/>
        <w:tblBorders>
          <w:top w:val="single" w:color="C49A2C" w:sz="8" w:space="0"/>
          <w:left w:val="single" w:color="C49A2C" w:sz="8" w:space="0"/>
          <w:bottom w:val="single" w:color="C49A2C" w:sz="8" w:space="0"/>
          <w:right w:val="single" w:color="C49A2C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3928792C">
        <w:tblPrEx>
          <w:tblBorders>
            <w:top w:val="single" w:color="C49A2C" w:sz="8" w:space="0"/>
            <w:left w:val="single" w:color="C49A2C" w:sz="8" w:space="0"/>
            <w:bottom w:val="single" w:color="C49A2C" w:sz="8" w:space="0"/>
            <w:right w:val="single" w:color="C49A2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FFF7E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89A1E0">
            <w:pPr>
              <w:keepLines/>
              <w:widowControl/>
              <w:spacing w:before="40" w:after="40" w:line="283" w:lineRule="auto"/>
            </w:pPr>
            <w:r>
              <w:rPr>
                <w:rFonts w:ascii="Arial" w:hAnsi="Arial" w:eastAsia="微软雅黑" w:cs="Arial"/>
                <w:b/>
                <w:color w:val="7A5A00"/>
                <w:sz w:val="20"/>
                <w:lang w:val="zh-CN" w:eastAsia="zh-CN"/>
              </w:rPr>
              <w:t xml:space="preserve">不建议默认过夜  </w:t>
            </w:r>
            <w:r>
              <w:rPr>
                <w:rFonts w:ascii="Arial" w:hAnsi="Arial" w:eastAsia="微软雅黑" w:cs="Arial"/>
                <w:color w:val="20242B"/>
                <w:sz w:val="20"/>
                <w:lang w:val="zh-CN" w:eastAsia="zh-CN"/>
              </w:rPr>
              <w:t xml:space="preserve">过夜可能提高非特异背景和蛋白降解风险。仅在 4°C 结合 </w:t>
            </w:r>
            <w:r>
              <w:rPr>
                <w:rFonts w:hint="eastAsia" w:cs="Arial"/>
                <w:color w:val="20242B"/>
                <w:sz w:val="20"/>
                <w:lang w:val="en-US" w:eastAsia="zh-CN"/>
              </w:rPr>
              <w:t>2</w:t>
            </w:r>
            <w:r>
              <w:rPr>
                <w:rFonts w:ascii="Arial" w:hAnsi="Arial" w:eastAsia="微软雅黑" w:cs="Arial"/>
                <w:color w:val="20242B"/>
                <w:sz w:val="20"/>
                <w:lang w:val="zh-CN" w:eastAsia="zh-CN"/>
              </w:rPr>
              <w:t>–4 小时仍不足且背景可接受时，才将过夜作为优化选项。</w:t>
            </w:r>
          </w:p>
        </w:tc>
      </w:tr>
    </w:tbl>
    <w:p w14:paraId="10CEE85E">
      <w:pPr>
        <w:pStyle w:val="4"/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t>3.3  洗涤</w:t>
      </w:r>
    </w:p>
    <w:p w14:paraId="638D0E8E">
      <w:pPr>
        <w:pStyle w:val="143"/>
        <w:keepLines/>
        <w:widowControl/>
        <w:numPr>
          <w:ilvl w:val="0"/>
          <w:numId w:val="10"/>
        </w:numPr>
        <w:tabs>
          <w:tab w:val="left" w:pos="540"/>
        </w:tabs>
      </w:pPr>
      <w:r>
        <w:rPr>
          <w:rFonts w:ascii="Arial" w:hAnsi="Arial" w:eastAsia="微软雅黑" w:cs="Arial"/>
          <w:lang w:val="zh-CN" w:eastAsia="zh-CN"/>
        </w:rPr>
        <w:t>向磁珠-蛋白复合物中加入 500 μL 洗涤液，轻柔吹打至完全重悬。</w:t>
      </w:r>
    </w:p>
    <w:p w14:paraId="54626C07">
      <w:pPr>
        <w:pStyle w:val="143"/>
        <w:keepLines/>
        <w:widowControl/>
        <w:numPr>
          <w:ilvl w:val="0"/>
          <w:numId w:val="10"/>
        </w:numPr>
        <w:tabs>
          <w:tab w:val="left" w:pos="540"/>
        </w:tabs>
      </w:pPr>
      <w:r>
        <w:rPr>
          <w:rFonts w:ascii="Arial" w:hAnsi="Arial" w:eastAsia="微软雅黑" w:cs="Arial"/>
          <w:lang w:val="zh-CN" w:eastAsia="zh-CN"/>
        </w:rPr>
        <w:t>在 4°C 轻柔翻转 2–3 分钟；随后置于磁力架，待上清澄清后吸弃。</w:t>
      </w:r>
    </w:p>
    <w:p w14:paraId="1C4CAE21">
      <w:pPr>
        <w:pStyle w:val="143"/>
        <w:keepLines/>
        <w:widowControl/>
        <w:numPr>
          <w:ilvl w:val="0"/>
          <w:numId w:val="10"/>
        </w:numPr>
        <w:tabs>
          <w:tab w:val="left" w:pos="540"/>
        </w:tabs>
      </w:pPr>
      <w:r>
        <w:rPr>
          <w:rFonts w:ascii="Arial" w:hAnsi="Arial" w:eastAsia="微软雅黑" w:cs="Arial"/>
          <w:lang w:val="zh-CN" w:eastAsia="zh-CN"/>
        </w:rPr>
        <w:t>重复上述洗涤共 4 次。高背景样品可增加至 5 次，或在其中 1–2 次使用 300–500 mM NaCl / 0.05–0.10% 非离子去污剂的洗涤液。</w:t>
      </w:r>
    </w:p>
    <w:p w14:paraId="6AE373AD">
      <w:pPr>
        <w:pStyle w:val="143"/>
        <w:keepLines/>
        <w:widowControl/>
        <w:numPr>
          <w:ilvl w:val="0"/>
          <w:numId w:val="10"/>
        </w:numPr>
        <w:tabs>
          <w:tab w:val="left" w:pos="540"/>
        </w:tabs>
      </w:pPr>
      <w:r>
        <w:rPr>
          <w:rFonts w:ascii="Arial" w:hAnsi="Arial" w:eastAsia="微软雅黑" w:cs="Arial"/>
          <w:lang w:val="zh-CN" w:eastAsia="zh-CN"/>
        </w:rPr>
        <w:t>最后一次洗涤重悬后，将全部磁珠转移至新的低蛋白吸附管再磁分离，以减少原管壁上非特异吸附蛋白。彻底移除残余洗液，但不要让磁珠变干。</w:t>
      </w:r>
    </w:p>
    <w:p w14:paraId="338260C3">
      <w:pPr>
        <w:pStyle w:val="4"/>
        <w:keepNext/>
        <w:keepLines/>
        <w:widowControl/>
      </w:pPr>
      <w:r>
        <w:t>3.4  3×FLAG peptide 竞争洗脱（推荐）</w:t>
      </w:r>
    </w:p>
    <w:p w14:paraId="7CC4D3FE">
      <w:pPr>
        <w:pStyle w:val="143"/>
        <w:keepLines/>
        <w:widowControl/>
        <w:numPr>
          <w:ilvl w:val="0"/>
          <w:numId w:val="11"/>
        </w:numPr>
        <w:tabs>
          <w:tab w:val="left" w:pos="540"/>
        </w:tabs>
      </w:pPr>
      <w:r>
        <w:rPr>
          <w:rFonts w:ascii="Arial" w:hAnsi="Arial" w:eastAsia="微软雅黑" w:cs="Arial"/>
          <w:lang w:val="zh-CN" w:eastAsia="zh-CN"/>
        </w:rPr>
        <w:t>向洗涤后的磁珠加入 50 μL 新鲜配制的 0.</w:t>
      </w:r>
      <w:r>
        <w:rPr>
          <w:rFonts w:hint="eastAsia" w:cs="Arial"/>
          <w:lang w:val="en-US" w:eastAsia="zh-CN"/>
        </w:rPr>
        <w:t>3</w:t>
      </w:r>
      <w:r>
        <w:rPr>
          <w:rFonts w:ascii="Arial" w:hAnsi="Arial" w:eastAsia="微软雅黑" w:cs="Arial"/>
          <w:lang w:val="zh-CN" w:eastAsia="zh-CN"/>
        </w:rPr>
        <w:t>0 mg/mL 3×FLAG peptide 工作液（TBS/PBS，pH 7.2–7.6）。</w:t>
      </w:r>
    </w:p>
    <w:p w14:paraId="0D913D7B">
      <w:pPr>
        <w:pStyle w:val="143"/>
        <w:keepLines/>
        <w:widowControl/>
        <w:numPr>
          <w:ilvl w:val="0"/>
          <w:numId w:val="11"/>
        </w:numPr>
        <w:tabs>
          <w:tab w:val="left" w:pos="540"/>
        </w:tabs>
      </w:pPr>
      <w:r>
        <w:rPr>
          <w:rFonts w:ascii="Arial" w:hAnsi="Arial" w:eastAsia="微软雅黑" w:cs="Arial"/>
          <w:lang w:val="zh-CN" w:eastAsia="zh-CN"/>
        </w:rPr>
        <w:t>轻柔吹打重悬，室温下持续轻柔混匀 30 分钟。若目的蛋白或复合物对温度敏感，可改为 4°C 混匀 60 分钟。</w:t>
      </w:r>
    </w:p>
    <w:p w14:paraId="1E72FA1B">
      <w:pPr>
        <w:pStyle w:val="143"/>
        <w:keepLines/>
        <w:widowControl/>
        <w:numPr>
          <w:ilvl w:val="0"/>
          <w:numId w:val="11"/>
        </w:numPr>
        <w:tabs>
          <w:tab w:val="left" w:pos="540"/>
        </w:tabs>
      </w:pPr>
      <w:r>
        <w:rPr>
          <w:rFonts w:ascii="Arial" w:hAnsi="Arial" w:eastAsia="微软雅黑" w:cs="Arial"/>
          <w:lang w:val="zh-CN" w:eastAsia="zh-CN"/>
        </w:rPr>
        <w:t>置于磁力架直至上清完全澄清，小心转移洗脱液至新的低蛋白吸附管，标记为 Elution 1（E1）。</w:t>
      </w:r>
    </w:p>
    <w:p w14:paraId="4DC2E948">
      <w:pPr>
        <w:pStyle w:val="143"/>
        <w:keepLines/>
        <w:widowControl/>
        <w:numPr>
          <w:ilvl w:val="0"/>
          <w:numId w:val="11"/>
        </w:numPr>
        <w:tabs>
          <w:tab w:val="left" w:pos="540"/>
        </w:tabs>
      </w:pPr>
      <w:r>
        <w:rPr>
          <w:rFonts w:ascii="Arial" w:hAnsi="Arial" w:eastAsia="微软雅黑" w:cs="Arial"/>
          <w:lang w:val="zh-CN" w:eastAsia="zh-CN"/>
        </w:rPr>
        <w:t>追求最大回收率时，再加入 50 μL 同浓度工作液重复洗脱一次，得到 Elution 2（E2）；可分别分析，也可合并。</w:t>
      </w:r>
    </w:p>
    <w:p w14:paraId="70D1AE53">
      <w:pPr>
        <w:pStyle w:val="143"/>
        <w:keepLines/>
        <w:widowControl/>
        <w:numPr>
          <w:ilvl w:val="0"/>
          <w:numId w:val="11"/>
        </w:numPr>
        <w:tabs>
          <w:tab w:val="left" w:pos="540"/>
        </w:tabs>
      </w:pPr>
      <w:r>
        <w:rPr>
          <w:rFonts w:ascii="Arial" w:hAnsi="Arial" w:eastAsia="微软雅黑" w:cs="Arial"/>
          <w:lang w:val="zh-CN" w:eastAsia="zh-CN"/>
        </w:rPr>
        <w:t>若 E1/E2 回收仍不足，可将肽提高至 0.5–1.0 mg/mL，或将洗脱体积提高至 100 μL。优先做二次洗脱，不要仅靠无限延长孵育时间。</w:t>
      </w:r>
    </w:p>
    <w:tbl>
      <w:tblPr>
        <w:tblStyle w:val="32"/>
        <w:tblW w:w="9360" w:type="dxa"/>
        <w:tblInd w:w="120" w:type="dxa"/>
        <w:tblBorders>
          <w:top w:val="single" w:color="B3202A" w:sz="8" w:space="0"/>
          <w:left w:val="single" w:color="B3202A" w:sz="8" w:space="0"/>
          <w:bottom w:val="single" w:color="B3202A" w:sz="8" w:space="0"/>
          <w:right w:val="single" w:color="B3202A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15C0CC65">
        <w:tblPrEx>
          <w:tblBorders>
            <w:top w:val="single" w:color="B3202A" w:sz="8" w:space="0"/>
            <w:left w:val="single" w:color="B3202A" w:sz="8" w:space="0"/>
            <w:bottom w:val="single" w:color="B3202A" w:sz="8" w:space="0"/>
            <w:right w:val="single" w:color="B3202A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FBEA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C5B7BB">
            <w:pPr>
              <w:keepLines/>
              <w:widowControl/>
              <w:spacing w:before="40" w:after="40" w:line="283" w:lineRule="auto"/>
            </w:pPr>
            <w:r>
              <w:rPr>
                <w:rFonts w:ascii="Arial" w:hAnsi="Arial" w:eastAsia="微软雅黑" w:cs="Arial"/>
                <w:b/>
                <w:color w:val="7A1720"/>
                <w:sz w:val="20"/>
                <w:lang w:val="zh-CN" w:eastAsia="zh-CN"/>
              </w:rPr>
              <w:t xml:space="preserve">洗脱后立即复磁  </w:t>
            </w:r>
            <w:r>
              <w:rPr>
                <w:rFonts w:ascii="Arial" w:hAnsi="Arial" w:eastAsia="微软雅黑" w:cs="Arial"/>
                <w:color w:val="20242B"/>
                <w:sz w:val="20"/>
                <w:lang w:val="zh-CN" w:eastAsia="zh-CN"/>
              </w:rPr>
              <w:t>1–5 μm 磁珠可能因吸液扰动带入洗脱液。将所得洗脱液在新管中再次放置磁力架 1–3 分钟，再转移上清，可显著减少磁珠残留。</w:t>
            </w:r>
          </w:p>
        </w:tc>
      </w:tr>
    </w:tbl>
    <w:p w14:paraId="79D4F668">
      <w:pPr>
        <w:spacing w:after="40"/>
      </w:pPr>
    </w:p>
    <w:p w14:paraId="25F98FA2">
      <w:pPr>
        <w:pStyle w:val="4"/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t>3.5  洗脱液处理</w:t>
      </w:r>
    </w:p>
    <w:p w14:paraId="46B96F67">
      <w:pPr>
        <w:pStyle w:val="143"/>
        <w:keepLines/>
        <w:widowControl/>
        <w:numPr>
          <w:ilvl w:val="0"/>
          <w:numId w:val="12"/>
        </w:numPr>
      </w:pPr>
      <w:r>
        <w:rPr>
          <w:rFonts w:ascii="Arial" w:hAnsi="Arial" w:eastAsia="微软雅黑" w:cs="Arial"/>
          <w:lang w:val="zh-CN" w:eastAsia="zh-CN"/>
        </w:rPr>
        <w:t>短期使用：洗脱液置于 2–8°C 并尽快检测；长期保存应根据目标蛋白稳定性分装后冻存，避免反复冻融。</w:t>
      </w:r>
    </w:p>
    <w:p w14:paraId="31C3C6E5">
      <w:pPr>
        <w:pStyle w:val="143"/>
        <w:keepLines/>
        <w:widowControl/>
        <w:numPr>
          <w:ilvl w:val="0"/>
          <w:numId w:val="12"/>
        </w:numPr>
      </w:pPr>
      <w:r>
        <w:rPr>
          <w:rFonts w:ascii="Arial" w:hAnsi="Arial" w:eastAsia="微软雅黑" w:cs="Arial"/>
          <w:lang w:val="zh-CN" w:eastAsia="zh-CN"/>
        </w:rPr>
        <w:t>3×FLAG peptide 含芳香族氨基酸并可影响 A280、BCA 或其他蛋白定量。使用相同肽浓度的空白液校正，或先通过脱盐、透析、超滤/换液去除游离肽。</w:t>
      </w:r>
    </w:p>
    <w:p w14:paraId="6FF86F03">
      <w:pPr>
        <w:pStyle w:val="143"/>
        <w:keepLines/>
        <w:widowControl/>
        <w:numPr>
          <w:ilvl w:val="0"/>
          <w:numId w:val="12"/>
        </w:numPr>
      </w:pPr>
      <w:r>
        <w:rPr>
          <w:rFonts w:ascii="Arial" w:hAnsi="Arial" w:eastAsia="微软雅黑" w:cs="Arial"/>
          <w:lang w:val="zh-CN" w:eastAsia="zh-CN"/>
        </w:rPr>
        <w:t>用于质谱、酶学或结构研究时，建议先去除游离肽并完成缓冲液置换。</w:t>
      </w:r>
    </w:p>
    <w:p w14:paraId="1A65E153">
      <w:pPr>
        <w:pStyle w:val="143"/>
        <w:keepLines/>
        <w:widowControl/>
        <w:numPr>
          <w:ilvl w:val="0"/>
          <w:numId w:val="12"/>
        </w:numPr>
      </w:pPr>
      <w:r>
        <w:rPr>
          <w:rFonts w:ascii="Arial" w:hAnsi="Arial" w:eastAsia="微软雅黑" w:cs="Arial"/>
          <w:lang w:val="zh-CN" w:eastAsia="zh-CN"/>
        </w:rPr>
        <w:t>用于 Western blot 时，建议按相同体积比例上样 Input、FT、最后一次 Wash、E1 和 E2，判断损失发生在哪一步。</w:t>
      </w:r>
    </w:p>
    <w:p w14:paraId="35D447F0">
      <w:pPr>
        <w:pStyle w:val="3"/>
        <w:keepNext/>
        <w:keepLines/>
        <w:widowControl/>
      </w:pPr>
      <w:r>
        <w:t>4  条件优化与结果判读</w:t>
      </w:r>
    </w:p>
    <w:tbl>
      <w:tblPr>
        <w:tblStyle w:val="32"/>
        <w:tblW w:w="9360" w:type="dxa"/>
        <w:tblInd w:w="120" w:type="dxa"/>
        <w:tblBorders>
          <w:top w:val="single" w:color="D9DDE2" w:sz="6" w:space="0"/>
          <w:left w:val="single" w:color="D9DDE2" w:sz="6" w:space="0"/>
          <w:bottom w:val="single" w:color="D9DDE2" w:sz="6" w:space="0"/>
          <w:right w:val="single" w:color="D9DDE2" w:sz="6" w:space="0"/>
          <w:insideH w:val="single" w:color="D9DDE2" w:sz="6" w:space="0"/>
          <w:insideV w:val="single" w:color="D9DDE2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4100"/>
        <w:gridCol w:w="3160"/>
      </w:tblGrid>
      <w:tr w14:paraId="27E1D2D9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100" w:type="dxa"/>
            <w:shd w:val="clear" w:color="auto" w:fill="B3202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B7A184">
            <w:pPr>
              <w:spacing w:before="0" w:after="0" w:line="259" w:lineRule="auto"/>
              <w:jc w:val="center"/>
            </w:pPr>
            <w:r>
              <w:rPr>
                <w:rFonts w:ascii="Arial" w:hAnsi="Arial" w:eastAsia="微软雅黑" w:cs="Arial"/>
                <w:b/>
                <w:color w:val="FFFFFF"/>
                <w:sz w:val="17"/>
                <w:lang w:val="zh-CN" w:eastAsia="zh-CN"/>
              </w:rPr>
              <w:t>实验目标</w:t>
            </w:r>
          </w:p>
        </w:tc>
        <w:tc>
          <w:tcPr>
            <w:tcW w:w="4100" w:type="dxa"/>
            <w:shd w:val="clear" w:color="auto" w:fill="B3202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85EA">
            <w:pPr>
              <w:spacing w:before="0" w:after="0" w:line="259" w:lineRule="auto"/>
              <w:jc w:val="center"/>
            </w:pPr>
            <w:r>
              <w:rPr>
                <w:rFonts w:ascii="Arial" w:hAnsi="Arial" w:eastAsia="微软雅黑" w:cs="Arial"/>
                <w:b/>
                <w:color w:val="FFFFFF"/>
                <w:sz w:val="17"/>
                <w:lang w:val="zh-CN" w:eastAsia="zh-CN"/>
              </w:rPr>
              <w:t>优先调整</w:t>
            </w:r>
          </w:p>
        </w:tc>
        <w:tc>
          <w:tcPr>
            <w:tcW w:w="3160" w:type="dxa"/>
            <w:shd w:val="clear" w:color="auto" w:fill="B3202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2116BF">
            <w:pPr>
              <w:spacing w:before="0" w:after="0" w:line="259" w:lineRule="auto"/>
              <w:jc w:val="center"/>
            </w:pPr>
            <w:r>
              <w:rPr>
                <w:rFonts w:ascii="Arial" w:hAnsi="Arial" w:eastAsia="微软雅黑" w:cs="Arial"/>
                <w:b/>
                <w:color w:val="FFFFFF"/>
                <w:sz w:val="17"/>
                <w:lang w:val="zh-CN" w:eastAsia="zh-CN"/>
              </w:rPr>
              <w:t>代价 / 风险</w:t>
            </w:r>
          </w:p>
        </w:tc>
      </w:tr>
      <w:tr w14:paraId="40AB2087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951FA5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提高总回收率</w:t>
            </w:r>
          </w:p>
        </w:tc>
        <w:tc>
          <w:tcPr>
            <w:tcW w:w="4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2DE22D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肽提高至 0.5–1.0 mg/mL；做二次洗脱；必要时增加磁珠</w:t>
            </w:r>
          </w:p>
        </w:tc>
        <w:tc>
          <w:tcPr>
            <w:tcW w:w="3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452891">
            <w:pPr>
              <w:keepLines/>
              <w:widowControl/>
              <w:spacing w:before="0" w:after="0" w:line="269" w:lineRule="auto"/>
              <w:jc w:val="center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肽用量和洗脱体积增加；下游需脱盐。</w:t>
            </w:r>
          </w:p>
        </w:tc>
      </w:tr>
      <w:tr w14:paraId="26C85E47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shd w:val="clear" w:color="auto" w:fill="FA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522D18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提高洗脱液浓度</w:t>
            </w:r>
          </w:p>
        </w:tc>
        <w:tc>
          <w:tcPr>
            <w:tcW w:w="4100" w:type="dxa"/>
            <w:shd w:val="clear" w:color="auto" w:fill="FA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9FDCCD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维持 50 μL 单次洗脱；先分析 E1，不立即合并 E2</w:t>
            </w:r>
          </w:p>
        </w:tc>
        <w:tc>
          <w:tcPr>
            <w:tcW w:w="3160" w:type="dxa"/>
            <w:shd w:val="clear" w:color="auto" w:fill="FA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E6258E">
            <w:pPr>
              <w:keepLines/>
              <w:widowControl/>
              <w:spacing w:before="0" w:after="0" w:line="269" w:lineRule="auto"/>
              <w:jc w:val="center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可能牺牲部分总回收率。</w:t>
            </w:r>
          </w:p>
        </w:tc>
      </w:tr>
      <w:tr w14:paraId="2C52EF6E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C44918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降低非特异背景</w:t>
            </w:r>
          </w:p>
        </w:tc>
        <w:tc>
          <w:tcPr>
            <w:tcW w:w="4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B910AD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缩短结合；洗 4–5 次；NaCl 300–500 mM；0.05–0.10% 非离子去污剂</w:t>
            </w:r>
          </w:p>
        </w:tc>
        <w:tc>
          <w:tcPr>
            <w:tcW w:w="3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5B480C">
            <w:pPr>
              <w:keepLines/>
              <w:widowControl/>
              <w:spacing w:before="0" w:after="0" w:line="269" w:lineRule="auto"/>
              <w:jc w:val="center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弱相互作用蛋白可能丢失。</w:t>
            </w:r>
          </w:p>
        </w:tc>
      </w:tr>
      <w:tr w14:paraId="1D6037F9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shd w:val="clear" w:color="auto" w:fill="FA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7B4EAD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保留弱蛋白复合物</w:t>
            </w:r>
          </w:p>
        </w:tc>
        <w:tc>
          <w:tcPr>
            <w:tcW w:w="4100" w:type="dxa"/>
            <w:shd w:val="clear" w:color="auto" w:fill="FA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8508CC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4°C 快速操作；NaCl 100–150 mM；低去污剂；减少洗涤时间</w:t>
            </w:r>
          </w:p>
        </w:tc>
        <w:tc>
          <w:tcPr>
            <w:tcW w:w="3160" w:type="dxa"/>
            <w:shd w:val="clear" w:color="auto" w:fill="FA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A1FA7B">
            <w:pPr>
              <w:keepLines/>
              <w:widowControl/>
              <w:spacing w:before="0" w:after="0" w:line="269" w:lineRule="auto"/>
              <w:jc w:val="center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背景升高，需要阴性对照和后续验证。</w:t>
            </w:r>
          </w:p>
        </w:tc>
      </w:tr>
      <w:tr w14:paraId="15FE0A0A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D75ADF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捕获低丰度目标</w:t>
            </w:r>
          </w:p>
        </w:tc>
        <w:tc>
          <w:tcPr>
            <w:tcW w:w="4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E2AB67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结合延长至 2–4 小时；提高样品量；按目标量同步增加磁珠</w:t>
            </w:r>
          </w:p>
        </w:tc>
        <w:tc>
          <w:tcPr>
            <w:tcW w:w="3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B5E017">
            <w:pPr>
              <w:keepLines/>
              <w:widowControl/>
              <w:spacing w:before="0" w:after="0" w:line="269" w:lineRule="auto"/>
              <w:jc w:val="center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非特异背景和蛋白降解风险上升。</w:t>
            </w:r>
          </w:p>
        </w:tc>
      </w:tr>
      <w:tr w14:paraId="16D4E529">
        <w:tblPrEx>
          <w:tblBorders>
            <w:top w:val="single" w:color="D9DDE2" w:sz="6" w:space="0"/>
            <w:left w:val="single" w:color="D9DDE2" w:sz="6" w:space="0"/>
            <w:bottom w:val="single" w:color="D9DDE2" w:sz="6" w:space="0"/>
            <w:right w:val="single" w:color="D9DDE2" w:sz="6" w:space="0"/>
            <w:insideH w:val="single" w:color="D9DDE2" w:sz="6" w:space="0"/>
            <w:insideV w:val="single" w:color="D9DDE2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shd w:val="clear" w:color="auto" w:fill="FA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E5AB01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减少磁珠带入</w:t>
            </w:r>
          </w:p>
        </w:tc>
        <w:tc>
          <w:tcPr>
            <w:tcW w:w="4100" w:type="dxa"/>
            <w:shd w:val="clear" w:color="auto" w:fill="FA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819F67">
            <w:pPr>
              <w:keepLines/>
              <w:widowControl/>
              <w:spacing w:before="0" w:after="0" w:line="269" w:lineRule="auto"/>
              <w:jc w:val="left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延长磁分离至上清澄清；转移后在新管中再次磁分离</w:t>
            </w:r>
          </w:p>
        </w:tc>
        <w:tc>
          <w:tcPr>
            <w:tcW w:w="3160" w:type="dxa"/>
            <w:shd w:val="clear" w:color="auto" w:fill="FA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246DF5">
            <w:pPr>
              <w:keepLines/>
              <w:widowControl/>
              <w:spacing w:before="0" w:after="0" w:line="269" w:lineRule="auto"/>
              <w:jc w:val="center"/>
            </w:pPr>
            <w:r>
              <w:rPr>
                <w:rFonts w:ascii="Arial" w:hAnsi="Arial" w:eastAsia="微软雅黑" w:cs="Arial"/>
                <w:b w:val="0"/>
                <w:color w:val="20242B"/>
                <w:sz w:val="17"/>
                <w:lang w:val="zh-CN" w:eastAsia="zh-CN"/>
              </w:rPr>
              <w:t>多一次转移会带来少量体积损失。</w:t>
            </w:r>
          </w:p>
        </w:tc>
      </w:tr>
    </w:tbl>
    <w:p w14:paraId="522D8C75">
      <w:pPr>
        <w:spacing w:after="60"/>
      </w:pPr>
    </w:p>
    <w:p w14:paraId="573AD3AC">
      <w:pPr>
        <w:spacing w:after="60"/>
      </w:pPr>
    </w:p>
    <w:sectPr>
      <w:headerReference r:id="rId5" w:type="default"/>
      <w:footerReference r:id="rId7" w:type="default"/>
      <w:headerReference r:id="rId6" w:type="even"/>
      <w:footerReference r:id="rId8" w:type="even"/>
      <w:pgSz w:w="12240" w:h="15840"/>
      <w:pgMar w:top="1440" w:right="1440" w:bottom="1440" w:left="1440" w:header="708" w:footer="708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Noto Sans CJK SC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66C45">
    <w:pPr>
      <w:pStyle w:val="24"/>
      <w:spacing w:before="0" w:after="0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DE6227">
                          <w:pPr>
                            <w:pStyle w:val="2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DE6227">
                    <w:pPr>
                      <w:pStyle w:val="2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B6AC33">
    <w:pPr>
      <w:pStyle w:val="24"/>
      <w:spacing w:before="0" w:after="0"/>
      <w:jc w:val="right"/>
    </w:pPr>
    <w:r>
      <w:rPr>
        <w:rFonts w:ascii="Arial" w:hAnsi="Arial" w:eastAsia="微软雅黑" w:cs="Arial"/>
        <w:color w:val="626870"/>
        <w:sz w:val="17"/>
        <w:lang w:val="zh-CN" w:eastAsia="zh-CN"/>
      </w:rPr>
      <w:t xml:space="preserve">第 </w:t>
    </w:r>
    <w:r>
      <w:rPr>
        <w:rFonts w:ascii="Arial" w:hAnsi="Arial" w:eastAsia="微软雅黑" w:cs="Arial"/>
        <w:color w:val="626870"/>
        <w:sz w:val="17"/>
        <w:lang w:val="zh-CN" w:eastAsia="zh-CN"/>
      </w:rPr>
      <w:fldChar w:fldCharType="begin"/>
    </w:r>
    <w:r>
      <w:rPr>
        <w:rFonts w:ascii="Arial" w:hAnsi="Arial" w:eastAsia="微软雅黑" w:cs="Arial"/>
        <w:color w:val="626870"/>
        <w:sz w:val="17"/>
        <w:lang w:val="zh-CN" w:eastAsia="zh-CN"/>
      </w:rPr>
      <w:instrText xml:space="preserve"> PAGE </w:instrText>
    </w:r>
    <w:r>
      <w:rPr>
        <w:rFonts w:ascii="Arial" w:hAnsi="Arial" w:eastAsia="微软雅黑" w:cs="Arial"/>
        <w:color w:val="626870"/>
        <w:sz w:val="17"/>
        <w:lang w:val="zh-CN" w:eastAsia="zh-CN"/>
      </w:rPr>
      <w:fldChar w:fldCharType="separate"/>
    </w:r>
    <w:r>
      <w:rPr>
        <w:rFonts w:ascii="Arial" w:hAnsi="Arial" w:eastAsia="微软雅黑" w:cs="Arial"/>
        <w:color w:val="626870"/>
        <w:sz w:val="17"/>
        <w:lang w:val="zh-CN" w:eastAsia="zh-CN"/>
      </w:rPr>
      <w:fldChar w:fldCharType="end"/>
    </w:r>
    <w:r>
      <w:rPr>
        <w:rFonts w:ascii="Arial" w:hAnsi="Arial" w:eastAsia="微软雅黑" w:cs="Arial"/>
        <w:color w:val="626870"/>
        <w:sz w:val="17"/>
        <w:lang w:val="zh-CN" w:eastAsia="zh-CN"/>
      </w:rPr>
      <w:t>1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9BD238">
    <w:pPr>
      <w:pStyle w:val="25"/>
      <w:jc w:val="center"/>
      <w:rPr>
        <w:sz w:val="18"/>
        <w:szCs w:val="18"/>
        <w:lang w:eastAsia="zh-CN"/>
      </w:rPr>
    </w:pPr>
    <w:r>
      <w:rPr>
        <w:b/>
        <w:color w:val="A61E2D"/>
        <w:sz w:val="18"/>
        <w:szCs w:val="18"/>
        <w:lang w:eastAsia="zh-CN"/>
      </w:rPr>
      <w:t>RedConju</w:t>
    </w:r>
    <w:r>
      <w:rPr>
        <w:color w:val="66717D"/>
        <w:sz w:val="18"/>
        <w:szCs w:val="18"/>
        <w:lang w:eastAsia="zh-CN"/>
      </w:rPr>
      <w:t xml:space="preserve">  |</w:t>
    </w:r>
    <w:r>
      <w:rPr>
        <w:rFonts w:hint="eastAsia"/>
        <w:color w:val="66717D"/>
        <w:sz w:val="18"/>
        <w:szCs w:val="18"/>
        <w:lang w:eastAsia="zh-CN"/>
      </w:rPr>
      <w:t xml:space="preserve">  </w:t>
    </w:r>
    <w:r>
      <w:rPr>
        <w:sz w:val="18"/>
        <w:szCs w:val="18"/>
        <w:lang w:eastAsia="zh-CN"/>
      </w:rPr>
      <w:t>弘溪联生物科技（</w:t>
    </w:r>
    <w:r>
      <w:rPr>
        <w:rFonts w:hint="eastAsia"/>
        <w:sz w:val="18"/>
        <w:szCs w:val="18"/>
        <w:lang w:eastAsia="zh-CN"/>
      </w:rPr>
      <w:t>上海</w:t>
    </w:r>
    <w:r>
      <w:rPr>
        <w:sz w:val="18"/>
        <w:szCs w:val="18"/>
        <w:lang w:eastAsia="zh-CN"/>
      </w:rPr>
      <w:t>）有限公司</w:t>
    </w:r>
  </w:p>
  <w:p w14:paraId="19CD4EBD">
    <w:pPr>
      <w:spacing w:line="360" w:lineRule="auto"/>
      <w:ind w:firstLine="2700" w:firstLineChars="1500"/>
      <w:jc w:val="both"/>
      <w:rPr>
        <w:sz w:val="18"/>
        <w:szCs w:val="18"/>
        <w:lang w:eastAsia="zh-CN"/>
      </w:rPr>
    </w:pPr>
    <w:r>
      <w:rPr>
        <w:sz w:val="18"/>
        <w:szCs w:val="18"/>
        <w:lang w:eastAsia="zh-CN"/>
      </w:rPr>
      <w:t>地      址：上海市闵行区新骏环路588号22幢A302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ADF6B4">
    <w:pPr>
      <w:pStyle w:val="25"/>
      <w:spacing w:before="0"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6">
    <w:nsid w:val="0053208E"/>
    <w:multiLevelType w:val="singleLevel"/>
    <w:tmpl w:val="0053208E"/>
    <w:lvl w:ilvl="0" w:tentative="0">
      <w:start w:val="1"/>
      <w:numFmt w:val="bullet"/>
      <w:lvlText w:val="•"/>
      <w:lvlJc w:val="left"/>
      <w:pPr>
        <w:tabs>
          <w:tab w:val="left" w:pos="540"/>
        </w:tabs>
        <w:spacing w:after="80" w:line="300" w:lineRule="auto"/>
        <w:ind w:left="540" w:hanging="270"/>
      </w:pPr>
      <w:rPr>
        <w:rFonts w:ascii="Arial" w:hAnsi="Arial" w:eastAsia="微软雅黑"/>
      </w:rPr>
    </w:lvl>
  </w:abstractNum>
  <w:abstractNum w:abstractNumId="7">
    <w:nsid w:val="59ADCABA"/>
    <w:multiLevelType w:val="singleLevel"/>
    <w:tmpl w:val="59ADCABA"/>
    <w:lvl w:ilvl="0" w:tentative="0">
      <w:start w:val="1"/>
      <w:numFmt w:val="decimal"/>
      <w:lvlText w:val="%1."/>
      <w:lvlJc w:val="left"/>
      <w:pPr>
        <w:tabs>
          <w:tab w:val="left" w:pos="540"/>
        </w:tabs>
        <w:spacing w:after="80" w:line="300" w:lineRule="auto"/>
        <w:ind w:left="540" w:hanging="270"/>
      </w:pPr>
      <w:rPr>
        <w:rFonts w:ascii="Arial" w:hAnsi="Arial" w:eastAsia="微软雅黑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7"/>
    <w:lvlOverride w:ilvl="0">
      <w:startOverride w:val="1"/>
    </w:lvlOverride>
  </w:num>
  <w:num w:numId="8">
    <w:abstractNumId w:val="7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1D34725"/>
    <w:rsid w:val="2BEC66B7"/>
    <w:rsid w:val="2D6A1F89"/>
    <w:rsid w:val="2E625356"/>
    <w:rsid w:val="3328091C"/>
    <w:rsid w:val="38B60778"/>
    <w:rsid w:val="4E1C4782"/>
    <w:rsid w:val="51110D0D"/>
    <w:rsid w:val="668307D8"/>
    <w:rsid w:val="68751207"/>
    <w:rsid w:val="6E2A4841"/>
    <w:rsid w:val="72F5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pacing w:before="0" w:after="120" w:line="300" w:lineRule="auto"/>
      <w:jc w:val="left"/>
    </w:pPr>
    <w:rPr>
      <w:rFonts w:ascii="Arial" w:hAnsi="Arial" w:eastAsia="微软雅黑" w:cs="Arial"/>
      <w:color w:val="20242B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360" w:after="200" w:line="264" w:lineRule="auto"/>
      <w:outlineLvl w:val="0"/>
    </w:pPr>
    <w:rPr>
      <w:rFonts w:asciiTheme="majorHAnsi" w:hAnsiTheme="majorHAnsi" w:eastAsiaTheme="majorEastAsia" w:cstheme="majorBidi"/>
      <w:b/>
      <w:bCs/>
      <w:color w:val="7A1720"/>
      <w:sz w:val="32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80" w:after="140" w:line="264" w:lineRule="auto"/>
      <w:outlineLvl w:val="1"/>
    </w:pPr>
    <w:rPr>
      <w:rFonts w:asciiTheme="majorHAnsi" w:hAnsiTheme="majorHAnsi" w:eastAsiaTheme="majorEastAsia" w:cstheme="majorBidi"/>
      <w:b/>
      <w:bCs/>
      <w:color w:val="B3202A"/>
      <w:sz w:val="26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100" w:line="264" w:lineRule="auto"/>
      <w:outlineLvl w:val="2"/>
    </w:pPr>
    <w:rPr>
      <w:rFonts w:asciiTheme="majorHAnsi" w:hAnsiTheme="majorHAnsi" w:eastAsiaTheme="majorEastAsia" w:cstheme="majorBidi"/>
      <w:b/>
      <w:bCs/>
      <w:color w:val="7A1720"/>
      <w:sz w:val="24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pPr>
      <w:spacing w:before="0" w:after="360" w:line="276" w:lineRule="auto"/>
    </w:pPr>
    <w:rPr>
      <w:rFonts w:asciiTheme="majorHAnsi" w:hAnsiTheme="majorHAnsi" w:eastAsiaTheme="majorEastAsia" w:cstheme="majorBidi"/>
      <w:i/>
      <w:iCs/>
      <w:color w:val="626870"/>
      <w:spacing w:val="15"/>
      <w:sz w:val="27"/>
      <w:szCs w:val="24"/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spacing w:before="0" w:after="160" w:line="240" w:lineRule="auto"/>
      <w:contextualSpacing/>
    </w:pPr>
    <w:rPr>
      <w:rFonts w:asciiTheme="majorHAnsi" w:hAnsiTheme="majorHAnsi" w:eastAsiaTheme="majorEastAsia" w:cstheme="majorBidi"/>
      <w:b/>
      <w:color w:val="7A1720"/>
      <w:spacing w:val="5"/>
      <w:kern w:val="28"/>
      <w:sz w:val="56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spacing w:before="0" w:after="80" w:line="300" w:lineRule="auto"/>
      <w:ind w:left="540" w:hanging="271"/>
      <w:contextualSpacing/>
    </w:pPr>
    <w:rPr>
      <w:rFonts w:ascii="Arial" w:hAnsi="Arial" w:eastAsia="微软雅黑" w:cs="Arial"/>
      <w:color w:val="20242B"/>
      <w:sz w:val="22"/>
    </w:r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2457</Words>
  <Characters>3237</Characters>
  <Lines>0</Lines>
  <Paragraphs>0</Paragraphs>
  <TotalTime>15</TotalTime>
  <ScaleCrop>false</ScaleCrop>
  <LinksUpToDate>false</LinksUpToDate>
  <CharactersWithSpaces>3556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弘溪联生物科技（上海）有限公司</dc:creator>
  <dc:description>RedConju product instructions</dc:description>
  <cp:keywords>Anti-FLAG; DYKDDDDK; Magnetic Agarose; IP; Co-IP; 3×FLAG peptide</cp:keywords>
  <cp:lastModifiedBy>十言i</cp:lastModifiedBy>
  <dcterms:modified xsi:type="dcterms:W3CDTF">2026-08-12T09:51:24Z</dcterms:modified>
  <dc:subject>免疫沉淀、共免疫沉淀及FLAG标签蛋白纯化</dc:subject>
  <dc:title>Anti-DYKDDDDK（Anti-FLAG）琼脂糖磁珠产品使用说明书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eyJoZGlkIjoiMGMwYWY5NjQ3NzdiYzcwNWVlYjA5NWRkNDY3MzZmOWEiLCJ1c2VySWQiOiIzMTQwOTY1OTAifQ==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2295387BA4EC4932BBB5B36EE62D7A82_13</vt:lpwstr>
  </property>
</Properties>
</file>